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7B" w:rsidRPr="00A2197B" w:rsidRDefault="00A2197B" w:rsidP="00A2197B">
      <w:pPr>
        <w:spacing w:line="240" w:lineRule="auto"/>
        <w:jc w:val="right"/>
        <w:rPr>
          <w:rFonts w:asciiTheme="majorHAnsi" w:hAnsiTheme="majorHAnsi"/>
          <w:b/>
          <w:szCs w:val="24"/>
          <w:u w:val="single"/>
          <w:lang w:val="en-US"/>
        </w:rPr>
      </w:pPr>
      <w:r w:rsidRPr="002D2E5D">
        <w:rPr>
          <w:rFonts w:asciiTheme="majorHAnsi" w:hAnsiTheme="majorHAnsi"/>
          <w:b/>
          <w:szCs w:val="24"/>
          <w:u w:val="single"/>
          <w:lang w:val="en-US"/>
        </w:rPr>
        <w:t>RFP</w:t>
      </w:r>
      <w:r>
        <w:rPr>
          <w:rFonts w:asciiTheme="majorHAnsi" w:hAnsiTheme="majorHAnsi"/>
          <w:b/>
          <w:szCs w:val="24"/>
          <w:u w:val="single"/>
          <w:lang w:val="en-US"/>
        </w:rPr>
        <w:t xml:space="preserve"> N ASB/GCF - </w:t>
      </w:r>
      <w:r w:rsidRPr="002D2E5D">
        <w:rPr>
          <w:rFonts w:asciiTheme="majorHAnsi" w:hAnsiTheme="majorHAnsi"/>
          <w:b/>
          <w:szCs w:val="24"/>
          <w:u w:val="single"/>
          <w:lang w:val="en-US"/>
        </w:rPr>
        <w:t>01/00</w:t>
      </w:r>
      <w:r>
        <w:rPr>
          <w:rFonts w:asciiTheme="majorHAnsi" w:hAnsiTheme="majorHAnsi"/>
          <w:b/>
          <w:szCs w:val="24"/>
          <w:u w:val="single"/>
          <w:lang w:val="en-US"/>
        </w:rPr>
        <w:t>2</w:t>
      </w:r>
    </w:p>
    <w:p w:rsidR="002D2E5D" w:rsidRDefault="002D2E5D" w:rsidP="002F242A">
      <w:pPr>
        <w:spacing w:line="240" w:lineRule="auto"/>
        <w:jc w:val="center"/>
        <w:rPr>
          <w:rFonts w:asciiTheme="majorHAnsi" w:hAnsiTheme="majorHAnsi"/>
          <w:szCs w:val="24"/>
          <w:lang w:val="en-US"/>
        </w:rPr>
      </w:pPr>
    </w:p>
    <w:p w:rsidR="00851D2A" w:rsidRPr="002F242A" w:rsidRDefault="002F242A" w:rsidP="002F242A">
      <w:pPr>
        <w:spacing w:line="240" w:lineRule="auto"/>
        <w:jc w:val="center"/>
        <w:rPr>
          <w:rFonts w:asciiTheme="majorHAnsi" w:hAnsiTheme="majorHAnsi"/>
          <w:szCs w:val="24"/>
          <w:lang w:val="en-US"/>
        </w:rPr>
      </w:pPr>
      <w:r>
        <w:rPr>
          <w:rFonts w:asciiTheme="majorHAnsi" w:hAnsiTheme="majorHAnsi"/>
          <w:szCs w:val="24"/>
          <w:lang w:val="en-US"/>
        </w:rPr>
        <w:t>“ARMSWISSBANK” CJSC</w:t>
      </w:r>
    </w:p>
    <w:p w:rsidR="00851D2A" w:rsidRPr="002F242A" w:rsidRDefault="00851D2A" w:rsidP="002F242A">
      <w:pPr>
        <w:spacing w:line="240" w:lineRule="auto"/>
        <w:jc w:val="center"/>
        <w:rPr>
          <w:rFonts w:asciiTheme="majorHAnsi" w:hAnsiTheme="majorHAnsi"/>
          <w:szCs w:val="24"/>
          <w:lang w:val="en-US"/>
        </w:rPr>
      </w:pPr>
    </w:p>
    <w:p w:rsidR="002F242A" w:rsidRDefault="00851D2A" w:rsidP="002F242A">
      <w:pPr>
        <w:spacing w:line="240" w:lineRule="auto"/>
        <w:jc w:val="center"/>
        <w:rPr>
          <w:rFonts w:asciiTheme="majorHAnsi" w:hAnsiTheme="majorHAnsi"/>
          <w:b/>
          <w:szCs w:val="24"/>
          <w:lang w:val="en-US"/>
        </w:rPr>
      </w:pPr>
      <w:r w:rsidRPr="002F242A">
        <w:rPr>
          <w:rFonts w:asciiTheme="majorHAnsi" w:hAnsiTheme="majorHAnsi"/>
          <w:b/>
          <w:szCs w:val="24"/>
          <w:lang w:val="en-US"/>
        </w:rPr>
        <w:t xml:space="preserve">READINESS </w:t>
      </w:r>
      <w:r w:rsidR="002F242A">
        <w:rPr>
          <w:rFonts w:asciiTheme="majorHAnsi" w:hAnsiTheme="majorHAnsi"/>
          <w:b/>
          <w:szCs w:val="24"/>
          <w:lang w:val="en-US"/>
        </w:rPr>
        <w:t>AND PREPARATORY SUPPORT PROGRAMME</w:t>
      </w:r>
    </w:p>
    <w:p w:rsidR="002F242A" w:rsidRDefault="002F242A" w:rsidP="002F242A">
      <w:pPr>
        <w:spacing w:line="240" w:lineRule="auto"/>
        <w:jc w:val="center"/>
        <w:rPr>
          <w:rFonts w:asciiTheme="majorHAnsi" w:hAnsiTheme="majorHAnsi"/>
          <w:b/>
          <w:szCs w:val="24"/>
          <w:lang w:val="en-US"/>
        </w:rPr>
      </w:pPr>
    </w:p>
    <w:p w:rsidR="00851D2A" w:rsidRPr="002F242A" w:rsidRDefault="002F242A" w:rsidP="002F242A">
      <w:pPr>
        <w:spacing w:line="240" w:lineRule="auto"/>
        <w:jc w:val="center"/>
        <w:rPr>
          <w:rFonts w:asciiTheme="majorHAnsi" w:hAnsiTheme="majorHAnsi"/>
          <w:b/>
          <w:szCs w:val="24"/>
          <w:lang w:val="en-US"/>
        </w:rPr>
      </w:pPr>
      <w:r>
        <w:rPr>
          <w:rFonts w:asciiTheme="majorHAnsi" w:hAnsiTheme="majorHAnsi"/>
          <w:b/>
          <w:szCs w:val="24"/>
          <w:lang w:val="en-US"/>
        </w:rPr>
        <w:t>“SCALING UP GREEN FINANCE PRACTICIES IN THE REPUBLIC OF ARMENIA”</w:t>
      </w:r>
      <w:r w:rsidR="00851D2A" w:rsidRPr="002F242A">
        <w:rPr>
          <w:rFonts w:asciiTheme="majorHAnsi" w:hAnsiTheme="majorHAnsi"/>
          <w:b/>
          <w:szCs w:val="24"/>
          <w:lang w:val="en-US"/>
        </w:rPr>
        <w:t xml:space="preserve"> PROJECT</w:t>
      </w:r>
    </w:p>
    <w:p w:rsidR="00851D2A" w:rsidRPr="002F242A" w:rsidRDefault="00851D2A" w:rsidP="002F242A">
      <w:pPr>
        <w:spacing w:line="240" w:lineRule="auto"/>
        <w:jc w:val="center"/>
        <w:rPr>
          <w:rFonts w:asciiTheme="majorHAnsi" w:hAnsiTheme="majorHAnsi"/>
          <w:szCs w:val="24"/>
          <w:lang w:val="en-US"/>
        </w:rPr>
      </w:pPr>
    </w:p>
    <w:p w:rsidR="00851D2A" w:rsidRPr="002F242A" w:rsidRDefault="00851D2A" w:rsidP="002F242A">
      <w:pPr>
        <w:spacing w:line="240" w:lineRule="auto"/>
        <w:jc w:val="center"/>
        <w:rPr>
          <w:rFonts w:asciiTheme="majorHAnsi" w:hAnsiTheme="majorHAnsi"/>
          <w:szCs w:val="24"/>
          <w:lang w:val="en-US"/>
        </w:rPr>
      </w:pPr>
      <w:r w:rsidRPr="002F242A">
        <w:rPr>
          <w:rFonts w:asciiTheme="majorHAnsi" w:hAnsiTheme="majorHAnsi"/>
          <w:szCs w:val="24"/>
          <w:lang w:val="en-US"/>
        </w:rPr>
        <w:t>TERMS OF REFERENCE</w:t>
      </w:r>
    </w:p>
    <w:p w:rsidR="000E017D" w:rsidRPr="00D14E77" w:rsidRDefault="000E017D" w:rsidP="002F242A">
      <w:pPr>
        <w:spacing w:line="240" w:lineRule="auto"/>
        <w:jc w:val="center"/>
        <w:rPr>
          <w:rFonts w:asciiTheme="majorHAnsi" w:hAnsiTheme="majorHAnsi"/>
          <w:szCs w:val="24"/>
          <w:lang w:val="en-US"/>
        </w:rPr>
      </w:pPr>
    </w:p>
    <w:p w:rsidR="00851D2A" w:rsidRPr="00D14E77" w:rsidRDefault="00DB7413" w:rsidP="002F242A">
      <w:pPr>
        <w:spacing w:line="240" w:lineRule="auto"/>
        <w:jc w:val="center"/>
        <w:rPr>
          <w:rFonts w:asciiTheme="majorHAnsi" w:hAnsiTheme="majorHAnsi"/>
          <w:b/>
          <w:szCs w:val="24"/>
          <w:lang w:val="en-US"/>
        </w:rPr>
      </w:pPr>
      <w:r w:rsidRPr="00D14E77">
        <w:rPr>
          <w:rFonts w:asciiTheme="majorHAnsi" w:hAnsiTheme="majorHAnsi"/>
          <w:b/>
          <w:szCs w:val="24"/>
          <w:lang w:val="en-US"/>
        </w:rPr>
        <w:t>E</w:t>
      </w:r>
      <w:r w:rsidR="002F242A" w:rsidRPr="00D14E77">
        <w:rPr>
          <w:rFonts w:asciiTheme="majorHAnsi" w:hAnsiTheme="majorHAnsi"/>
          <w:b/>
          <w:szCs w:val="24"/>
          <w:lang w:val="en-US"/>
        </w:rPr>
        <w:t xml:space="preserve">ngagement of </w:t>
      </w:r>
      <w:r w:rsidR="00D14E77" w:rsidRPr="00D14E77">
        <w:rPr>
          <w:rFonts w:asciiTheme="majorHAnsi" w:hAnsiTheme="majorHAnsi"/>
          <w:b/>
          <w:szCs w:val="24"/>
          <w:lang w:val="en-US"/>
        </w:rPr>
        <w:t xml:space="preserve">individual consultant (national) for </w:t>
      </w:r>
      <w:r w:rsidR="00D14E77">
        <w:rPr>
          <w:rFonts w:asciiTheme="majorHAnsi" w:hAnsiTheme="majorHAnsi"/>
          <w:b/>
          <w:szCs w:val="24"/>
          <w:lang w:val="en-US"/>
        </w:rPr>
        <w:t xml:space="preserve">implementation of </w:t>
      </w:r>
      <w:r w:rsidR="00D14E77">
        <w:rPr>
          <w:rFonts w:asciiTheme="majorHAnsi" w:hAnsiTheme="majorHAnsi"/>
          <w:b/>
          <w:lang w:val="en-US"/>
        </w:rPr>
        <w:t>s</w:t>
      </w:r>
      <w:r w:rsidR="00D14E77" w:rsidRPr="00D14E77">
        <w:rPr>
          <w:rFonts w:asciiTheme="majorHAnsi" w:hAnsiTheme="majorHAnsi"/>
          <w:b/>
          <w:lang w:val="en-US"/>
        </w:rPr>
        <w:t>coping study and mapping of existing and potential “green finance” practices</w:t>
      </w:r>
    </w:p>
    <w:p w:rsidR="00851D2A" w:rsidRPr="00D14E77" w:rsidRDefault="00851D2A" w:rsidP="002F242A">
      <w:pPr>
        <w:spacing w:line="240" w:lineRule="auto"/>
        <w:jc w:val="center"/>
        <w:rPr>
          <w:rFonts w:asciiTheme="majorHAnsi" w:hAnsiTheme="majorHAnsi"/>
          <w:szCs w:val="24"/>
          <w:lang w:val="en-US"/>
        </w:rPr>
      </w:pPr>
    </w:p>
    <w:p w:rsidR="009D7C91" w:rsidRPr="002F242A" w:rsidRDefault="009D7C91" w:rsidP="002F242A">
      <w:pPr>
        <w:spacing w:line="240" w:lineRule="auto"/>
        <w:jc w:val="center"/>
        <w:rPr>
          <w:rFonts w:asciiTheme="majorHAnsi" w:hAnsiTheme="majorHAnsi"/>
          <w:szCs w:val="24"/>
          <w:lang w:val="en-US"/>
        </w:rPr>
      </w:pPr>
    </w:p>
    <w:p w:rsidR="005878AC" w:rsidRPr="002F242A" w:rsidRDefault="005878AC" w:rsidP="002F242A">
      <w:pPr>
        <w:spacing w:line="240" w:lineRule="auto"/>
        <w:rPr>
          <w:rFonts w:asciiTheme="majorHAnsi" w:hAnsiTheme="majorHAnsi"/>
          <w:b/>
          <w:szCs w:val="24"/>
          <w:lang w:val="en-US"/>
        </w:rPr>
      </w:pPr>
      <w:r w:rsidRPr="002F242A">
        <w:rPr>
          <w:rFonts w:asciiTheme="majorHAnsi" w:hAnsiTheme="majorHAnsi"/>
          <w:b/>
          <w:szCs w:val="24"/>
          <w:lang w:val="en-US"/>
        </w:rPr>
        <w:t>Background</w:t>
      </w:r>
    </w:p>
    <w:p w:rsidR="00BB6DF8" w:rsidRPr="002F242A" w:rsidRDefault="00BB6DF8" w:rsidP="002F242A">
      <w:pPr>
        <w:spacing w:line="240" w:lineRule="auto"/>
        <w:rPr>
          <w:rFonts w:asciiTheme="majorHAnsi" w:hAnsiTheme="majorHAnsi"/>
          <w:szCs w:val="24"/>
          <w:lang w:val="en-US"/>
        </w:rPr>
      </w:pPr>
    </w:p>
    <w:p w:rsidR="008D739D" w:rsidRDefault="009D7C91" w:rsidP="002F242A">
      <w:pPr>
        <w:spacing w:line="240" w:lineRule="auto"/>
        <w:rPr>
          <w:rFonts w:asciiTheme="majorHAnsi" w:hAnsiTheme="majorHAnsi"/>
          <w:szCs w:val="24"/>
          <w:lang w:val="en-US"/>
        </w:rPr>
      </w:pPr>
      <w:r w:rsidRPr="002F242A">
        <w:rPr>
          <w:rFonts w:asciiTheme="majorHAnsi" w:hAnsiTheme="majorHAnsi"/>
          <w:szCs w:val="24"/>
          <w:lang w:val="en-US"/>
        </w:rPr>
        <w:t>Within its strategy to promote enabling framework for introducing environment resilient practices, the Government of Armenia plans to significantly scale up the utilization level of green finance instruments and to secure a more pro-active participation of the private sector in implementing interventions in climate adaptation and mitigation domains.</w:t>
      </w:r>
    </w:p>
    <w:p w:rsidR="008D739D" w:rsidRDefault="008D739D" w:rsidP="002F242A">
      <w:pPr>
        <w:spacing w:line="240" w:lineRule="auto"/>
        <w:rPr>
          <w:rFonts w:asciiTheme="majorHAnsi" w:hAnsiTheme="majorHAnsi"/>
          <w:szCs w:val="24"/>
          <w:lang w:val="en-US"/>
        </w:rPr>
      </w:pPr>
    </w:p>
    <w:p w:rsidR="008D739D" w:rsidRDefault="008D739D" w:rsidP="002F242A">
      <w:pPr>
        <w:spacing w:line="240" w:lineRule="auto"/>
        <w:rPr>
          <w:rFonts w:asciiTheme="majorHAnsi" w:hAnsiTheme="majorHAnsi"/>
          <w:szCs w:val="24"/>
          <w:lang w:val="en-US"/>
        </w:rPr>
      </w:pPr>
      <w:r>
        <w:rPr>
          <w:rFonts w:asciiTheme="majorHAnsi" w:hAnsiTheme="majorHAnsi"/>
          <w:szCs w:val="24"/>
          <w:lang w:val="en-US"/>
        </w:rPr>
        <w:t xml:space="preserve">Within that overall strategy, the Government of Armenia through the Ministry of Environment (Designated National Authority) has requested support of Green Climate Fund (GCF) within the framework of “Readiness and Preparatory Support Programme” to implement </w:t>
      </w:r>
      <w:r w:rsidRPr="002F242A">
        <w:rPr>
          <w:rFonts w:asciiTheme="majorHAnsi" w:hAnsiTheme="majorHAnsi"/>
          <w:szCs w:val="24"/>
          <w:lang w:val="en-US"/>
        </w:rPr>
        <w:t>comprehensive assessment of the constraints for further expansion of “green finance” practices, mapping of available instruments and to come up with comprehensive set of methodological, awareness raising and capacity building interventions.The Readiness Project will design a Green Finance Roadmap, as key political document outlining current state, existing impediments for green finance development and establishing comprehensive vision for green finance strategy contributing to implementation of Armenia’s NDCs and Paris Agreement. The Roadmap and further activities aimed at implementation of the activities proposed will benefit from Repository of “Green Finance Instruments” that will be compiled during project execution stage and further handed over to Central Bank for maintenance and updates upon completion of the Project. The main objective of the Readiness Project is to achieve paradigm shift in design and utilization of “green finance” instruments through incorporating into policies, operational modalities of national banks and non-banking financial institutions the climate-resilient approaches and guidelines, as well as regulatory simplification and introduction of policy incentives for designing respective on-lending facilities. To achieve this objective, interrelated chain of activity clusters, including assessment of baseline, regulatory review and simplification, assessment of best international practices, design of methodological baseline and further capacity building activities will be implemented.</w:t>
      </w:r>
    </w:p>
    <w:p w:rsidR="008D739D" w:rsidRDefault="008D739D" w:rsidP="002F242A">
      <w:pPr>
        <w:spacing w:line="240" w:lineRule="auto"/>
        <w:rPr>
          <w:rFonts w:asciiTheme="majorHAnsi" w:hAnsiTheme="majorHAnsi"/>
          <w:szCs w:val="24"/>
          <w:lang w:val="en-US"/>
        </w:rPr>
      </w:pPr>
    </w:p>
    <w:p w:rsidR="008D739D" w:rsidRDefault="008D739D" w:rsidP="002F242A">
      <w:pPr>
        <w:spacing w:line="240" w:lineRule="auto"/>
        <w:rPr>
          <w:rFonts w:asciiTheme="majorHAnsi" w:hAnsiTheme="majorHAnsi"/>
          <w:szCs w:val="24"/>
          <w:lang w:val="en-US"/>
        </w:rPr>
      </w:pPr>
      <w:r>
        <w:rPr>
          <w:rFonts w:asciiTheme="majorHAnsi" w:hAnsiTheme="majorHAnsi"/>
          <w:szCs w:val="24"/>
          <w:lang w:val="en-US"/>
        </w:rPr>
        <w:t xml:space="preserve">The “ARMSWISSBANK” CJSC one of the leading Armenian banks that also </w:t>
      </w:r>
      <w:r w:rsidR="00A86CD4">
        <w:rPr>
          <w:rFonts w:asciiTheme="majorHAnsi" w:hAnsiTheme="majorHAnsi"/>
          <w:szCs w:val="24"/>
          <w:lang w:val="en-US"/>
        </w:rPr>
        <w:t>seek</w:t>
      </w:r>
      <w:r>
        <w:rPr>
          <w:rFonts w:asciiTheme="majorHAnsi" w:hAnsiTheme="majorHAnsi"/>
          <w:szCs w:val="24"/>
          <w:lang w:val="en-US"/>
        </w:rPr>
        <w:t xml:space="preserve"> accreditation with GCF (under direct access modality) has been awarded the contract </w:t>
      </w:r>
      <w:r>
        <w:rPr>
          <w:rFonts w:asciiTheme="majorHAnsi" w:hAnsiTheme="majorHAnsi"/>
          <w:szCs w:val="24"/>
          <w:lang w:val="en-US"/>
        </w:rPr>
        <w:lastRenderedPageBreak/>
        <w:t xml:space="preserve">for implementation of “Scaling up Green Finance </w:t>
      </w:r>
      <w:r w:rsidR="00A86CD4">
        <w:rPr>
          <w:rFonts w:asciiTheme="majorHAnsi" w:hAnsiTheme="majorHAnsi"/>
          <w:szCs w:val="24"/>
          <w:lang w:val="en-US"/>
        </w:rPr>
        <w:t>Practices</w:t>
      </w:r>
      <w:r>
        <w:rPr>
          <w:rFonts w:asciiTheme="majorHAnsi" w:hAnsiTheme="majorHAnsi"/>
          <w:szCs w:val="24"/>
          <w:lang w:val="en-US"/>
        </w:rPr>
        <w:t xml:space="preserve"> in the Republic of Armenia”</w:t>
      </w:r>
      <w:r w:rsidR="00A86CD4">
        <w:rPr>
          <w:rFonts w:asciiTheme="majorHAnsi" w:hAnsiTheme="majorHAnsi"/>
          <w:szCs w:val="24"/>
          <w:lang w:val="en-US"/>
        </w:rPr>
        <w:t xml:space="preserve"> Project</w:t>
      </w:r>
      <w:r>
        <w:rPr>
          <w:rFonts w:asciiTheme="majorHAnsi" w:hAnsiTheme="majorHAnsi"/>
          <w:szCs w:val="24"/>
          <w:lang w:val="en-US"/>
        </w:rPr>
        <w:t>.</w:t>
      </w:r>
    </w:p>
    <w:p w:rsidR="008D739D" w:rsidRDefault="008D739D" w:rsidP="002F242A">
      <w:pPr>
        <w:spacing w:line="240" w:lineRule="auto"/>
        <w:rPr>
          <w:rFonts w:asciiTheme="majorHAnsi" w:hAnsiTheme="majorHAnsi"/>
          <w:szCs w:val="24"/>
          <w:lang w:val="en-US"/>
        </w:rPr>
      </w:pPr>
    </w:p>
    <w:p w:rsidR="00EF2EA8" w:rsidRPr="002F242A" w:rsidRDefault="00EF2EA8" w:rsidP="002F242A">
      <w:pPr>
        <w:spacing w:line="240" w:lineRule="auto"/>
        <w:rPr>
          <w:rFonts w:asciiTheme="majorHAnsi" w:hAnsiTheme="majorHAnsi" w:cs="Times New Roman"/>
          <w:b/>
          <w:bCs/>
          <w:szCs w:val="24"/>
        </w:rPr>
      </w:pPr>
      <w:r w:rsidRPr="002F242A">
        <w:rPr>
          <w:rFonts w:asciiTheme="majorHAnsi" w:hAnsiTheme="majorHAnsi" w:cs="Times New Roman"/>
          <w:b/>
          <w:bCs/>
          <w:szCs w:val="24"/>
        </w:rPr>
        <w:t xml:space="preserve">Objective of the Assignment </w:t>
      </w:r>
    </w:p>
    <w:p w:rsidR="005878AC" w:rsidRPr="002F242A" w:rsidRDefault="005878AC" w:rsidP="002F242A">
      <w:pPr>
        <w:spacing w:line="240" w:lineRule="auto"/>
        <w:rPr>
          <w:rFonts w:asciiTheme="majorHAnsi" w:hAnsiTheme="majorHAnsi"/>
          <w:szCs w:val="24"/>
          <w:lang w:val="en-US"/>
        </w:rPr>
      </w:pPr>
    </w:p>
    <w:p w:rsidR="00EF2EA8" w:rsidRPr="002F242A" w:rsidRDefault="007B67B7" w:rsidP="002F242A">
      <w:pPr>
        <w:spacing w:line="240" w:lineRule="auto"/>
        <w:rPr>
          <w:rFonts w:asciiTheme="majorHAnsi" w:hAnsiTheme="majorHAnsi"/>
          <w:szCs w:val="24"/>
          <w:lang w:val="en-US"/>
        </w:rPr>
      </w:pPr>
      <w:r w:rsidRPr="002F242A">
        <w:rPr>
          <w:rFonts w:asciiTheme="majorHAnsi" w:hAnsiTheme="majorHAnsi"/>
          <w:szCs w:val="24"/>
          <w:lang w:val="en-US"/>
        </w:rPr>
        <w:t xml:space="preserve">Green finance refers to financial services provided for economic activities that are supportive of environment improvement, climate change mitigation </w:t>
      </w:r>
      <w:r w:rsidR="00B5627E" w:rsidRPr="00B5627E">
        <w:rPr>
          <w:rFonts w:asciiTheme="majorHAnsi" w:hAnsiTheme="majorHAnsi"/>
          <w:szCs w:val="24"/>
          <w:lang w:val="en-US"/>
        </w:rPr>
        <w:t xml:space="preserve">and </w:t>
      </w:r>
      <w:r w:rsidR="00B5627E">
        <w:rPr>
          <w:rFonts w:asciiTheme="majorHAnsi" w:hAnsiTheme="majorHAnsi"/>
          <w:szCs w:val="24"/>
          <w:lang w:val="en-US"/>
        </w:rPr>
        <w:t xml:space="preserve">adaptation, climate resilience </w:t>
      </w:r>
      <w:r w:rsidRPr="002F242A">
        <w:rPr>
          <w:rFonts w:asciiTheme="majorHAnsi" w:hAnsiTheme="majorHAnsi"/>
          <w:szCs w:val="24"/>
          <w:lang w:val="en-US"/>
        </w:rPr>
        <w:t xml:space="preserve">and more efficient resource utilization. These economic activities include the financing, operation and risk management for projects </w:t>
      </w:r>
      <w:r w:rsidR="005F12BD" w:rsidRPr="005F12BD">
        <w:rPr>
          <w:rFonts w:asciiTheme="majorHAnsi" w:hAnsiTheme="majorHAnsi"/>
          <w:szCs w:val="24"/>
          <w:lang w:val="en-US"/>
        </w:rPr>
        <w:t>in the following areas but not limited to</w:t>
      </w:r>
      <w:r w:rsidRPr="002F242A">
        <w:rPr>
          <w:rFonts w:asciiTheme="majorHAnsi" w:hAnsiTheme="majorHAnsi"/>
          <w:szCs w:val="24"/>
          <w:lang w:val="en-US"/>
        </w:rPr>
        <w:t xml:space="preserve"> such as environmental protection, energy savings, clean energy, green transportation, and green buildings.</w:t>
      </w:r>
    </w:p>
    <w:p w:rsidR="007B67B7" w:rsidRPr="002F242A" w:rsidRDefault="007B67B7" w:rsidP="002F242A">
      <w:pPr>
        <w:spacing w:line="240" w:lineRule="auto"/>
        <w:rPr>
          <w:rFonts w:asciiTheme="majorHAnsi" w:hAnsiTheme="majorHAnsi"/>
          <w:szCs w:val="24"/>
          <w:lang w:val="en-US"/>
        </w:rPr>
      </w:pPr>
    </w:p>
    <w:p w:rsidR="007B67B7" w:rsidRPr="00236340" w:rsidRDefault="007B67B7" w:rsidP="002F242A">
      <w:pPr>
        <w:spacing w:line="240" w:lineRule="auto"/>
        <w:rPr>
          <w:rFonts w:asciiTheme="majorHAnsi" w:hAnsiTheme="majorHAnsi"/>
          <w:szCs w:val="24"/>
        </w:rPr>
      </w:pPr>
      <w:r w:rsidRPr="002F242A">
        <w:rPr>
          <w:rFonts w:asciiTheme="majorHAnsi" w:hAnsiTheme="majorHAnsi"/>
          <w:szCs w:val="24"/>
        </w:rPr>
        <w:t xml:space="preserve">The objective of this assignment is </w:t>
      </w:r>
      <w:r w:rsidR="00916549">
        <w:rPr>
          <w:rFonts w:asciiTheme="majorHAnsi" w:hAnsiTheme="majorHAnsi"/>
          <w:szCs w:val="24"/>
        </w:rPr>
        <w:t xml:space="preserve">the following: </w:t>
      </w:r>
      <w:r w:rsidR="00D14E77">
        <w:rPr>
          <w:rFonts w:asciiTheme="majorHAnsi" w:hAnsiTheme="majorHAnsi"/>
          <w:szCs w:val="24"/>
        </w:rPr>
        <w:t xml:space="preserve">to carry out </w:t>
      </w:r>
      <w:r w:rsidR="00D14E77">
        <w:rPr>
          <w:lang w:val="en-US"/>
        </w:rPr>
        <w:t>s</w:t>
      </w:r>
      <w:r w:rsidR="00D14E77" w:rsidRPr="00DE1B2D">
        <w:rPr>
          <w:lang w:val="en-US"/>
        </w:rPr>
        <w:t xml:space="preserve">coping study and mapping </w:t>
      </w:r>
      <w:r w:rsidR="00D14E77" w:rsidRPr="00236340">
        <w:rPr>
          <w:lang w:val="en-US"/>
        </w:rPr>
        <w:t>of existing and potential “green finance” practices (within 17 commercial banks and 5 non-banking financial institutions) in design and delivery of green finance products</w:t>
      </w:r>
      <w:r w:rsidR="007E75FF" w:rsidRPr="00236340">
        <w:rPr>
          <w:rFonts w:asciiTheme="majorHAnsi" w:hAnsiTheme="majorHAnsi"/>
          <w:szCs w:val="24"/>
        </w:rPr>
        <w:t>.</w:t>
      </w:r>
    </w:p>
    <w:p w:rsidR="007B67B7" w:rsidRPr="00236340" w:rsidRDefault="007B67B7" w:rsidP="002F242A">
      <w:pPr>
        <w:spacing w:line="240" w:lineRule="auto"/>
        <w:rPr>
          <w:rFonts w:asciiTheme="majorHAnsi" w:hAnsiTheme="majorHAnsi"/>
          <w:szCs w:val="24"/>
        </w:rPr>
      </w:pPr>
    </w:p>
    <w:p w:rsidR="00EF2EA8" w:rsidRPr="00236340" w:rsidRDefault="00EF2EA8" w:rsidP="002F242A">
      <w:pPr>
        <w:spacing w:line="240" w:lineRule="auto"/>
        <w:rPr>
          <w:rFonts w:asciiTheme="majorHAnsi" w:hAnsiTheme="majorHAnsi" w:cs="Times New Roman"/>
          <w:b/>
          <w:bCs/>
          <w:szCs w:val="24"/>
        </w:rPr>
      </w:pPr>
      <w:r w:rsidRPr="00236340">
        <w:rPr>
          <w:rFonts w:asciiTheme="majorHAnsi" w:hAnsiTheme="majorHAnsi" w:cs="Times New Roman"/>
          <w:b/>
          <w:bCs/>
          <w:szCs w:val="24"/>
        </w:rPr>
        <w:t xml:space="preserve">Scope of Work </w:t>
      </w:r>
    </w:p>
    <w:p w:rsidR="00EF2EA8" w:rsidRPr="00236340" w:rsidRDefault="00EF2EA8" w:rsidP="002F242A">
      <w:pPr>
        <w:spacing w:line="240" w:lineRule="auto"/>
        <w:rPr>
          <w:rFonts w:asciiTheme="majorHAnsi" w:hAnsiTheme="majorHAnsi"/>
          <w:szCs w:val="24"/>
          <w:lang w:val="en-US"/>
        </w:rPr>
      </w:pPr>
    </w:p>
    <w:p w:rsidR="00D14E77" w:rsidRPr="00236340" w:rsidRDefault="00D14E77" w:rsidP="00D14E77">
      <w:pPr>
        <w:rPr>
          <w:rFonts w:asciiTheme="majorHAnsi" w:hAnsiTheme="majorHAnsi" w:cs="Times New Roman"/>
        </w:rPr>
      </w:pPr>
      <w:r w:rsidRPr="00236340">
        <w:rPr>
          <w:rFonts w:asciiTheme="majorHAnsi" w:hAnsiTheme="majorHAnsi" w:cs="Times New Roman"/>
        </w:rPr>
        <w:t xml:space="preserve">Most of the banks currently functioning in Armenia have expressed their interest to promote green finance in one way or another. So at this stage it is expedient to consider the entire banking sector (17 licensed commercial banks) as potentially interested. </w:t>
      </w:r>
      <w:r w:rsidRPr="00236340">
        <w:rPr>
          <w:rFonts w:asciiTheme="majorHAnsi" w:hAnsiTheme="majorHAnsi"/>
          <w:lang w:val="en-US"/>
        </w:rPr>
        <w:t>Some of the banks of Armenia</w:t>
      </w:r>
      <w:r w:rsidRPr="00D14E77">
        <w:rPr>
          <w:rFonts w:asciiTheme="majorHAnsi" w:hAnsiTheme="majorHAnsi"/>
          <w:lang w:val="en-US"/>
        </w:rPr>
        <w:t xml:space="preserve"> have substantial portfolios of “green finance” loans, thus possessing critical knowledge about regulatory constraints, information and methodological shortages and, more importantly, potential market for such financial instruments. </w:t>
      </w:r>
      <w:r w:rsidRPr="00D14E77">
        <w:rPr>
          <w:rFonts w:asciiTheme="majorHAnsi" w:hAnsiTheme="majorHAnsi" w:cs="Times New Roman"/>
        </w:rPr>
        <w:t xml:space="preserve">Among the types of non-bank institutions, the Universal Credit Organizations – constituting the biggest share of the non-banking institutions - will be the primary target for engaging in green finance. However, here a strict and objectively </w:t>
      </w:r>
      <w:r w:rsidRPr="00236340">
        <w:rPr>
          <w:rFonts w:asciiTheme="majorHAnsi" w:hAnsiTheme="majorHAnsi" w:cs="Times New Roman"/>
        </w:rPr>
        <w:t>selection will be needed, as given their small size (both relatively to the banks and in absolute terms), only those of them will be engaged, which would express both institutional interest and commitment (possibly- even practical experience).</w:t>
      </w:r>
    </w:p>
    <w:p w:rsidR="00D14E77" w:rsidRPr="00236340" w:rsidRDefault="00D14E77" w:rsidP="00D14E77">
      <w:pPr>
        <w:rPr>
          <w:rFonts w:asciiTheme="majorHAnsi" w:hAnsiTheme="majorHAnsi" w:cs="Times New Roman"/>
        </w:rPr>
      </w:pPr>
    </w:p>
    <w:p w:rsidR="00D14E77" w:rsidRPr="00236340" w:rsidRDefault="00D14E77" w:rsidP="00D14E77">
      <w:pPr>
        <w:rPr>
          <w:rFonts w:asciiTheme="majorHAnsi" w:hAnsiTheme="majorHAnsi"/>
        </w:rPr>
      </w:pPr>
      <w:r w:rsidRPr="00236340">
        <w:rPr>
          <w:rFonts w:asciiTheme="majorHAnsi" w:hAnsiTheme="majorHAnsi"/>
        </w:rPr>
        <w:t>Specifically, the Consultant will:</w:t>
      </w:r>
    </w:p>
    <w:p w:rsidR="00D14E77" w:rsidRPr="00236340" w:rsidRDefault="00D14E77" w:rsidP="00D14E77">
      <w:pPr>
        <w:numPr>
          <w:ilvl w:val="0"/>
          <w:numId w:val="5"/>
        </w:numPr>
        <w:rPr>
          <w:rFonts w:asciiTheme="majorHAnsi" w:hAnsiTheme="majorHAnsi" w:cs="Times New Roman"/>
        </w:rPr>
      </w:pPr>
      <w:r w:rsidRPr="00236340">
        <w:rPr>
          <w:rFonts w:asciiTheme="majorHAnsi" w:hAnsiTheme="majorHAnsi" w:cs="Times New Roman"/>
        </w:rPr>
        <w:t>Approve the list of stakeholders with the Client</w:t>
      </w:r>
    </w:p>
    <w:p w:rsidR="00D14E77" w:rsidRDefault="00D14E77" w:rsidP="00D14E77">
      <w:pPr>
        <w:numPr>
          <w:ilvl w:val="0"/>
          <w:numId w:val="5"/>
        </w:numPr>
        <w:rPr>
          <w:rFonts w:asciiTheme="majorHAnsi" w:hAnsiTheme="majorHAnsi" w:cs="Times New Roman"/>
        </w:rPr>
      </w:pPr>
      <w:r w:rsidRPr="00236340">
        <w:rPr>
          <w:rFonts w:asciiTheme="majorHAnsi" w:hAnsiTheme="majorHAnsi" w:cs="Times New Roman"/>
        </w:rPr>
        <w:t>Review</w:t>
      </w:r>
      <w:r>
        <w:rPr>
          <w:rFonts w:asciiTheme="majorHAnsi" w:hAnsiTheme="majorHAnsi" w:cs="Times New Roman"/>
        </w:rPr>
        <w:t xml:space="preserve"> portfolio of stakeholders to identify “green finance” instruments;</w:t>
      </w:r>
    </w:p>
    <w:p w:rsidR="00D14E77" w:rsidRDefault="00D14E77" w:rsidP="00D14E77">
      <w:pPr>
        <w:numPr>
          <w:ilvl w:val="0"/>
          <w:numId w:val="5"/>
        </w:numPr>
        <w:rPr>
          <w:rFonts w:asciiTheme="majorHAnsi" w:hAnsiTheme="majorHAnsi" w:cs="Times New Roman"/>
        </w:rPr>
      </w:pPr>
      <w:r>
        <w:rPr>
          <w:rFonts w:asciiTheme="majorHAnsi" w:hAnsiTheme="majorHAnsi" w:cs="Times New Roman"/>
        </w:rPr>
        <w:t>Design comprehensive matrix of available “green finance instruments” (including size, criteria, targeted sectors, etc);</w:t>
      </w:r>
    </w:p>
    <w:p w:rsidR="00D14E77" w:rsidRPr="00D14E77" w:rsidRDefault="00D14E77" w:rsidP="00D14E77">
      <w:pPr>
        <w:numPr>
          <w:ilvl w:val="0"/>
          <w:numId w:val="5"/>
        </w:numPr>
        <w:rPr>
          <w:rFonts w:asciiTheme="majorHAnsi" w:hAnsiTheme="majorHAnsi" w:cs="Times New Roman"/>
        </w:rPr>
      </w:pPr>
      <w:r>
        <w:rPr>
          <w:rFonts w:asciiTheme="majorHAnsi" w:hAnsiTheme="majorHAnsi" w:cs="Times New Roman"/>
        </w:rPr>
        <w:t xml:space="preserve">Interview key personnel of the banks to identify </w:t>
      </w:r>
      <w:r w:rsidRPr="00D14E77">
        <w:rPr>
          <w:rFonts w:asciiTheme="majorHAnsi" w:hAnsiTheme="majorHAnsi"/>
          <w:lang w:val="en-US"/>
        </w:rPr>
        <w:t>regulatory constraints, information and methodological shortages and, more importantly, potential market for such financial instruments</w:t>
      </w:r>
      <w:r>
        <w:rPr>
          <w:rFonts w:asciiTheme="majorHAnsi" w:hAnsiTheme="majorHAnsi"/>
          <w:lang w:val="en-US"/>
        </w:rPr>
        <w:t>;</w:t>
      </w:r>
    </w:p>
    <w:p w:rsidR="00D14E77" w:rsidRDefault="00D14E77" w:rsidP="00D14E77">
      <w:pPr>
        <w:numPr>
          <w:ilvl w:val="0"/>
          <w:numId w:val="5"/>
        </w:numPr>
        <w:rPr>
          <w:rFonts w:asciiTheme="majorHAnsi" w:hAnsiTheme="majorHAnsi" w:cs="Times New Roman"/>
        </w:rPr>
      </w:pPr>
      <w:bookmarkStart w:id="0" w:name="_Hlk34040397"/>
      <w:r w:rsidRPr="00D14E77">
        <w:rPr>
          <w:rFonts w:asciiTheme="majorHAnsi" w:hAnsiTheme="majorHAnsi" w:cs="Times New Roman"/>
        </w:rPr>
        <w:t xml:space="preserve">Analyse the information collected from </w:t>
      </w:r>
      <w:r>
        <w:rPr>
          <w:rFonts w:asciiTheme="majorHAnsi" w:hAnsiTheme="majorHAnsi" w:cs="Times New Roman"/>
        </w:rPr>
        <w:t xml:space="preserve">portfolio review and </w:t>
      </w:r>
      <w:r w:rsidRPr="00D14E77">
        <w:rPr>
          <w:rFonts w:asciiTheme="majorHAnsi" w:hAnsiTheme="majorHAnsi" w:cs="Times New Roman"/>
        </w:rPr>
        <w:t>interviews</w:t>
      </w:r>
      <w:r>
        <w:rPr>
          <w:rFonts w:asciiTheme="majorHAnsi" w:hAnsiTheme="majorHAnsi" w:cs="Times New Roman"/>
        </w:rPr>
        <w:t>;</w:t>
      </w:r>
    </w:p>
    <w:p w:rsidR="00D14E77" w:rsidRPr="00D14E77" w:rsidRDefault="0011011B" w:rsidP="0011011B">
      <w:pPr>
        <w:numPr>
          <w:ilvl w:val="0"/>
          <w:numId w:val="5"/>
        </w:numPr>
        <w:rPr>
          <w:rFonts w:asciiTheme="majorHAnsi" w:hAnsiTheme="majorHAnsi" w:cs="Times New Roman"/>
        </w:rPr>
      </w:pPr>
      <w:r>
        <w:rPr>
          <w:rFonts w:asciiTheme="majorHAnsi" w:hAnsiTheme="majorHAnsi" w:cs="Times New Roman"/>
        </w:rPr>
        <w:t>To draft Narrative Report</w:t>
      </w:r>
      <w:r w:rsidRPr="0011011B">
        <w:rPr>
          <w:rFonts w:asciiTheme="majorHAnsi" w:hAnsiTheme="majorHAnsi" w:cs="Times New Roman"/>
        </w:rPr>
        <w:t>, including interim set of recommendations on addressing regulatory constraints, information and methodological shortages, and promoting green financial instruments in local market.</w:t>
      </w:r>
    </w:p>
    <w:bookmarkEnd w:id="0"/>
    <w:p w:rsidR="00552F17" w:rsidRPr="00D14E77" w:rsidRDefault="00552F17" w:rsidP="002F242A">
      <w:pPr>
        <w:spacing w:line="240" w:lineRule="auto"/>
        <w:rPr>
          <w:rFonts w:asciiTheme="majorHAnsi" w:hAnsiTheme="majorHAnsi"/>
          <w:szCs w:val="24"/>
        </w:rPr>
      </w:pPr>
    </w:p>
    <w:p w:rsidR="00552F17" w:rsidRPr="002F242A" w:rsidRDefault="00552F17" w:rsidP="00552F17">
      <w:pPr>
        <w:spacing w:line="240" w:lineRule="auto"/>
        <w:rPr>
          <w:rFonts w:asciiTheme="majorHAnsi" w:hAnsiTheme="majorHAnsi"/>
          <w:szCs w:val="24"/>
          <w:lang w:val="en-US"/>
        </w:rPr>
      </w:pPr>
      <w:r w:rsidRPr="002F242A">
        <w:rPr>
          <w:rFonts w:asciiTheme="majorHAnsi" w:hAnsiTheme="majorHAnsi"/>
          <w:szCs w:val="24"/>
          <w:lang w:val="en-US"/>
        </w:rPr>
        <w:lastRenderedPageBreak/>
        <w:t xml:space="preserve">This results of the </w:t>
      </w:r>
      <w:r w:rsidR="00D14E77">
        <w:rPr>
          <w:rFonts w:asciiTheme="majorHAnsi" w:hAnsiTheme="majorHAnsi"/>
          <w:szCs w:val="24"/>
          <w:lang w:val="en-US"/>
        </w:rPr>
        <w:t>study</w:t>
      </w:r>
      <w:r w:rsidRPr="002F242A">
        <w:rPr>
          <w:rFonts w:asciiTheme="majorHAnsi" w:hAnsiTheme="majorHAnsi"/>
          <w:szCs w:val="24"/>
          <w:lang w:val="en-US"/>
        </w:rPr>
        <w:t xml:space="preserve"> will be collated with and contribute to the overall </w:t>
      </w:r>
      <w:bookmarkStart w:id="1" w:name="_Hlk34039769"/>
      <w:r w:rsidRPr="002F242A">
        <w:rPr>
          <w:rFonts w:asciiTheme="majorHAnsi" w:hAnsiTheme="majorHAnsi"/>
          <w:szCs w:val="24"/>
          <w:lang w:val="en-US"/>
        </w:rPr>
        <w:t>Scoping study assessing current status with and existing instruments of “green finance” in Armenia and addressing existing gaps</w:t>
      </w:r>
      <w:bookmarkEnd w:id="1"/>
      <w:r w:rsidR="00D14E77">
        <w:rPr>
          <w:rFonts w:asciiTheme="majorHAnsi" w:hAnsiTheme="majorHAnsi"/>
          <w:szCs w:val="24"/>
          <w:lang w:val="en-US"/>
        </w:rPr>
        <w:t>.</w:t>
      </w:r>
    </w:p>
    <w:p w:rsidR="00552F17" w:rsidRDefault="00552F17" w:rsidP="002F242A">
      <w:pPr>
        <w:spacing w:line="240" w:lineRule="auto"/>
        <w:rPr>
          <w:rFonts w:asciiTheme="majorHAnsi" w:hAnsiTheme="majorHAnsi"/>
          <w:szCs w:val="24"/>
          <w:lang w:val="en-US"/>
        </w:rPr>
      </w:pPr>
    </w:p>
    <w:p w:rsidR="00DE1B2D" w:rsidRDefault="00364ED2" w:rsidP="002F242A">
      <w:pPr>
        <w:spacing w:line="240" w:lineRule="auto"/>
        <w:rPr>
          <w:rFonts w:asciiTheme="majorHAnsi" w:hAnsiTheme="majorHAnsi"/>
          <w:szCs w:val="24"/>
          <w:lang w:val="en-US"/>
        </w:rPr>
      </w:pPr>
      <w:r w:rsidRPr="00236340">
        <w:rPr>
          <w:rFonts w:asciiTheme="majorHAnsi" w:hAnsiTheme="majorHAnsi"/>
          <w:szCs w:val="24"/>
          <w:lang w:val="en-US"/>
        </w:rPr>
        <w:t xml:space="preserve">The Consultant shall </w:t>
      </w:r>
      <w:r w:rsidR="00D14E77" w:rsidRPr="00236340">
        <w:rPr>
          <w:rFonts w:asciiTheme="majorHAnsi" w:hAnsiTheme="majorHAnsi"/>
          <w:szCs w:val="24"/>
          <w:lang w:val="en-US"/>
        </w:rPr>
        <w:t>closely work with International Expert who will be providing methodological guidelines and peer-review of final deliverable</w:t>
      </w:r>
      <w:r w:rsidRPr="00236340">
        <w:rPr>
          <w:rFonts w:asciiTheme="majorHAnsi" w:hAnsiTheme="majorHAnsi"/>
          <w:szCs w:val="24"/>
          <w:lang w:val="en-US"/>
        </w:rPr>
        <w:t xml:space="preserve">. </w:t>
      </w:r>
    </w:p>
    <w:p w:rsidR="00DF32EB" w:rsidRDefault="00DF32EB" w:rsidP="002F242A">
      <w:pPr>
        <w:spacing w:line="240" w:lineRule="auto"/>
        <w:rPr>
          <w:rFonts w:asciiTheme="majorHAnsi" w:hAnsiTheme="majorHAnsi"/>
          <w:szCs w:val="24"/>
          <w:lang w:val="en-US"/>
        </w:rPr>
      </w:pPr>
    </w:p>
    <w:p w:rsidR="00DF32EB" w:rsidRPr="00236340" w:rsidRDefault="00DF32EB" w:rsidP="002F242A">
      <w:pPr>
        <w:spacing w:line="240" w:lineRule="auto"/>
        <w:rPr>
          <w:rFonts w:asciiTheme="majorHAnsi" w:hAnsiTheme="majorHAnsi"/>
          <w:szCs w:val="24"/>
          <w:lang w:val="en-US"/>
        </w:rPr>
      </w:pPr>
      <w:r w:rsidRPr="00DF32EB">
        <w:rPr>
          <w:rFonts w:asciiTheme="majorHAnsi" w:hAnsiTheme="majorHAnsi"/>
          <w:szCs w:val="24"/>
          <w:lang w:val="en-US"/>
        </w:rPr>
        <w:t>The Consultant shall also be available to provide presentations of their work in the relevant seminars within the Project, including the period of at least six months after the completion of their assignment under these terms of reference</w:t>
      </w:r>
    </w:p>
    <w:p w:rsidR="00DE1B2D" w:rsidRPr="00236340" w:rsidRDefault="00DE1B2D" w:rsidP="002F242A">
      <w:pPr>
        <w:spacing w:line="240" w:lineRule="auto"/>
        <w:rPr>
          <w:rFonts w:asciiTheme="majorHAnsi" w:hAnsiTheme="majorHAnsi"/>
          <w:szCs w:val="24"/>
          <w:lang w:val="en-US"/>
        </w:rPr>
      </w:pPr>
    </w:p>
    <w:p w:rsidR="00364ED2" w:rsidRPr="00236340" w:rsidRDefault="00552F17" w:rsidP="002F242A">
      <w:pPr>
        <w:spacing w:line="240" w:lineRule="auto"/>
        <w:rPr>
          <w:rFonts w:asciiTheme="majorHAnsi" w:hAnsiTheme="majorHAnsi" w:cs="Times New Roman"/>
          <w:szCs w:val="24"/>
        </w:rPr>
      </w:pPr>
      <w:r w:rsidRPr="00236340">
        <w:rPr>
          <w:rFonts w:asciiTheme="majorHAnsi" w:hAnsiTheme="majorHAnsi" w:cs="Times New Roman"/>
          <w:b/>
          <w:szCs w:val="24"/>
        </w:rPr>
        <w:t>Selection Criteria</w:t>
      </w:r>
    </w:p>
    <w:p w:rsidR="00552F17" w:rsidRPr="00236340" w:rsidRDefault="00552F17" w:rsidP="002F242A">
      <w:pPr>
        <w:spacing w:line="240" w:lineRule="auto"/>
        <w:rPr>
          <w:rFonts w:asciiTheme="majorHAnsi" w:hAnsiTheme="majorHAnsi" w:cs="Times New Roman"/>
          <w:szCs w:val="24"/>
        </w:rPr>
      </w:pPr>
    </w:p>
    <w:p w:rsidR="00552F17" w:rsidRPr="00236340" w:rsidRDefault="00FB29E5" w:rsidP="00914793">
      <w:pPr>
        <w:pStyle w:val="ListParagraph"/>
        <w:numPr>
          <w:ilvl w:val="0"/>
          <w:numId w:val="4"/>
        </w:numPr>
        <w:spacing w:line="240" w:lineRule="auto"/>
        <w:rPr>
          <w:rFonts w:asciiTheme="majorHAnsi" w:hAnsiTheme="majorHAnsi" w:cs="Times New Roman"/>
          <w:b/>
          <w:szCs w:val="24"/>
        </w:rPr>
      </w:pPr>
      <w:r w:rsidRPr="00236340">
        <w:rPr>
          <w:rFonts w:asciiTheme="majorHAnsi" w:hAnsiTheme="majorHAnsi" w:cs="Times New Roman"/>
          <w:b/>
          <w:szCs w:val="24"/>
        </w:rPr>
        <w:t>Experience of the Consultant</w:t>
      </w:r>
      <w:r w:rsidR="00552F17" w:rsidRPr="00236340">
        <w:rPr>
          <w:rFonts w:asciiTheme="majorHAnsi" w:hAnsiTheme="majorHAnsi" w:cs="Times New Roman"/>
          <w:b/>
          <w:szCs w:val="24"/>
        </w:rPr>
        <w:t xml:space="preserve"> – 70%</w:t>
      </w:r>
    </w:p>
    <w:p w:rsidR="002B35EA" w:rsidRPr="00236340" w:rsidRDefault="002B35EA" w:rsidP="002F242A">
      <w:pPr>
        <w:spacing w:line="240" w:lineRule="auto"/>
        <w:rPr>
          <w:rFonts w:asciiTheme="majorHAnsi" w:hAnsiTheme="majorHAnsi"/>
          <w:szCs w:val="24"/>
        </w:rPr>
      </w:pPr>
    </w:p>
    <w:p w:rsidR="00552F17" w:rsidRPr="00236340" w:rsidRDefault="00552F17" w:rsidP="004817FF">
      <w:pPr>
        <w:pStyle w:val="ListParagraph"/>
        <w:numPr>
          <w:ilvl w:val="0"/>
          <w:numId w:val="3"/>
        </w:numPr>
        <w:spacing w:line="240" w:lineRule="auto"/>
        <w:rPr>
          <w:rFonts w:asciiTheme="majorHAnsi" w:hAnsiTheme="majorHAnsi" w:cs="Times New Roman"/>
          <w:szCs w:val="24"/>
        </w:rPr>
      </w:pPr>
      <w:r w:rsidRPr="00236340">
        <w:rPr>
          <w:rFonts w:asciiTheme="majorHAnsi" w:hAnsiTheme="majorHAnsi" w:cs="Times New Roman"/>
          <w:szCs w:val="24"/>
        </w:rPr>
        <w:t xml:space="preserve">At least </w:t>
      </w:r>
      <w:r w:rsidR="00FB29E5" w:rsidRPr="00236340">
        <w:rPr>
          <w:rFonts w:asciiTheme="majorHAnsi" w:hAnsiTheme="majorHAnsi" w:cs="Times New Roman"/>
          <w:szCs w:val="24"/>
        </w:rPr>
        <w:t>10</w:t>
      </w:r>
      <w:r w:rsidRPr="00236340">
        <w:rPr>
          <w:rFonts w:asciiTheme="majorHAnsi" w:hAnsiTheme="majorHAnsi" w:cs="Times New Roman"/>
          <w:szCs w:val="24"/>
        </w:rPr>
        <w:t xml:space="preserve"> years of work experience </w:t>
      </w:r>
      <w:r w:rsidR="00FB29E5" w:rsidRPr="00236340">
        <w:rPr>
          <w:rFonts w:asciiTheme="majorHAnsi" w:hAnsiTheme="majorHAnsi" w:cs="Times New Roman"/>
          <w:szCs w:val="24"/>
        </w:rPr>
        <w:t xml:space="preserve">in the project management, </w:t>
      </w:r>
      <w:r w:rsidRPr="00236340">
        <w:rPr>
          <w:rFonts w:asciiTheme="majorHAnsi" w:hAnsiTheme="majorHAnsi" w:cs="Times New Roman"/>
          <w:szCs w:val="24"/>
        </w:rPr>
        <w:t>design and evaluations, development and/or application of performance indicators, targets, and methodological guidelines, research, policy and procedure development</w:t>
      </w:r>
      <w:r w:rsidR="00FB29E5" w:rsidRPr="00236340">
        <w:rPr>
          <w:rFonts w:asciiTheme="majorHAnsi" w:hAnsiTheme="majorHAnsi" w:cs="Times New Roman"/>
          <w:szCs w:val="24"/>
        </w:rPr>
        <w:t>, including</w:t>
      </w:r>
      <w:r w:rsidRPr="00236340">
        <w:rPr>
          <w:rFonts w:asciiTheme="majorHAnsi" w:hAnsiTheme="majorHAnsi" w:cs="Times New Roman"/>
          <w:szCs w:val="24"/>
        </w:rPr>
        <w:t xml:space="preserve"> in </w:t>
      </w:r>
      <w:r w:rsidR="004817FF" w:rsidRPr="004817FF">
        <w:rPr>
          <w:rFonts w:asciiTheme="majorHAnsi" w:hAnsiTheme="majorHAnsi" w:cs="Times New Roman"/>
          <w:szCs w:val="24"/>
        </w:rPr>
        <w:t xml:space="preserve">domain of “green finance” and/or </w:t>
      </w:r>
      <w:r w:rsidRPr="00236340">
        <w:rPr>
          <w:rFonts w:asciiTheme="majorHAnsi" w:hAnsiTheme="majorHAnsi" w:cs="Times New Roman"/>
          <w:szCs w:val="24"/>
        </w:rPr>
        <w:t>“green economy”</w:t>
      </w:r>
      <w:r w:rsidR="00FB29E5" w:rsidRPr="00236340">
        <w:rPr>
          <w:rFonts w:asciiTheme="majorHAnsi" w:hAnsiTheme="majorHAnsi" w:cs="Times New Roman"/>
          <w:szCs w:val="24"/>
        </w:rPr>
        <w:t>;</w:t>
      </w:r>
    </w:p>
    <w:p w:rsidR="00552F17" w:rsidRPr="00236340" w:rsidRDefault="00552F17" w:rsidP="00914793">
      <w:pPr>
        <w:pStyle w:val="ListParagraph"/>
        <w:numPr>
          <w:ilvl w:val="0"/>
          <w:numId w:val="3"/>
        </w:numPr>
        <w:spacing w:line="240" w:lineRule="auto"/>
        <w:rPr>
          <w:rFonts w:asciiTheme="majorHAnsi" w:hAnsiTheme="majorHAnsi" w:cs="Times New Roman"/>
          <w:szCs w:val="24"/>
        </w:rPr>
      </w:pPr>
      <w:r w:rsidRPr="00236340">
        <w:rPr>
          <w:rFonts w:asciiTheme="majorHAnsi" w:hAnsiTheme="majorHAnsi" w:cs="Times New Roman"/>
          <w:szCs w:val="24"/>
        </w:rPr>
        <w:t xml:space="preserve">Experience in </w:t>
      </w:r>
      <w:r w:rsidR="00FB29E5" w:rsidRPr="00236340">
        <w:rPr>
          <w:rFonts w:asciiTheme="majorHAnsi" w:hAnsiTheme="majorHAnsi" w:cs="Times New Roman"/>
          <w:szCs w:val="24"/>
        </w:rPr>
        <w:t>PPP and liaison with private sector and Government agencies</w:t>
      </w:r>
    </w:p>
    <w:p w:rsidR="00552F17" w:rsidRPr="00236340" w:rsidRDefault="00552F17" w:rsidP="00914793">
      <w:pPr>
        <w:pStyle w:val="ListParagraph"/>
        <w:numPr>
          <w:ilvl w:val="0"/>
          <w:numId w:val="3"/>
        </w:numPr>
        <w:spacing w:line="240" w:lineRule="auto"/>
        <w:rPr>
          <w:rFonts w:asciiTheme="majorHAnsi" w:hAnsiTheme="majorHAnsi" w:cs="Times New Roman"/>
          <w:szCs w:val="24"/>
        </w:rPr>
      </w:pPr>
      <w:r w:rsidRPr="00236340">
        <w:rPr>
          <w:rFonts w:asciiTheme="majorHAnsi" w:hAnsiTheme="majorHAnsi" w:cs="Times New Roman"/>
          <w:szCs w:val="24"/>
        </w:rPr>
        <w:t>Institutional track record on successful delivery of high-level expert advice to banks, governments and/or international organizations in the relevant fields</w:t>
      </w:r>
      <w:r w:rsidR="008C0DFE" w:rsidRPr="00236340">
        <w:rPr>
          <w:rFonts w:asciiTheme="majorHAnsi" w:hAnsiTheme="majorHAnsi" w:cs="Times New Roman"/>
          <w:szCs w:val="24"/>
        </w:rPr>
        <w:t>;</w:t>
      </w:r>
    </w:p>
    <w:p w:rsidR="008C0DFE" w:rsidRPr="00236340" w:rsidRDefault="008C0DFE" w:rsidP="008C0DFE">
      <w:pPr>
        <w:pStyle w:val="ListParagraph"/>
        <w:numPr>
          <w:ilvl w:val="0"/>
          <w:numId w:val="3"/>
        </w:numPr>
        <w:spacing w:line="240" w:lineRule="auto"/>
        <w:rPr>
          <w:rFonts w:asciiTheme="majorHAnsi" w:hAnsiTheme="majorHAnsi" w:cs="Times New Roman"/>
          <w:szCs w:val="24"/>
        </w:rPr>
      </w:pPr>
      <w:r w:rsidRPr="00236340">
        <w:rPr>
          <w:rFonts w:asciiTheme="majorHAnsi" w:hAnsiTheme="majorHAnsi" w:cs="Times New Roman"/>
          <w:szCs w:val="24"/>
        </w:rPr>
        <w:t>Experience of working with climate funds is considered as strong advantage.</w:t>
      </w:r>
    </w:p>
    <w:p w:rsidR="007E75FF" w:rsidRPr="00236340" w:rsidRDefault="007E75FF" w:rsidP="00552F17">
      <w:pPr>
        <w:spacing w:line="240" w:lineRule="auto"/>
        <w:rPr>
          <w:rFonts w:asciiTheme="majorHAnsi" w:hAnsiTheme="majorHAnsi"/>
          <w:b/>
          <w:szCs w:val="24"/>
        </w:rPr>
      </w:pPr>
    </w:p>
    <w:p w:rsidR="000D3704" w:rsidRPr="00236340" w:rsidRDefault="000D3704" w:rsidP="00914793">
      <w:pPr>
        <w:pStyle w:val="ListParagraph"/>
        <w:numPr>
          <w:ilvl w:val="0"/>
          <w:numId w:val="4"/>
        </w:numPr>
        <w:spacing w:line="240" w:lineRule="auto"/>
        <w:rPr>
          <w:rFonts w:asciiTheme="majorHAnsi" w:hAnsiTheme="majorHAnsi"/>
          <w:b/>
          <w:szCs w:val="24"/>
        </w:rPr>
      </w:pPr>
      <w:r w:rsidRPr="00236340">
        <w:rPr>
          <w:rFonts w:asciiTheme="majorHAnsi" w:hAnsiTheme="majorHAnsi"/>
          <w:b/>
          <w:szCs w:val="24"/>
        </w:rPr>
        <w:t>Financial Proposal - 30%</w:t>
      </w:r>
    </w:p>
    <w:p w:rsidR="007E75FF" w:rsidRPr="00236340" w:rsidRDefault="007E75FF" w:rsidP="002F242A">
      <w:pPr>
        <w:spacing w:line="240" w:lineRule="auto"/>
        <w:rPr>
          <w:rFonts w:asciiTheme="majorHAnsi" w:hAnsiTheme="majorHAnsi"/>
          <w:b/>
          <w:szCs w:val="24"/>
          <w:lang w:val="en-US"/>
        </w:rPr>
      </w:pPr>
    </w:p>
    <w:p w:rsidR="00A14EB8" w:rsidRPr="002F242A" w:rsidRDefault="00FB13D0" w:rsidP="002F242A">
      <w:pPr>
        <w:spacing w:line="240" w:lineRule="auto"/>
        <w:rPr>
          <w:rFonts w:asciiTheme="majorHAnsi" w:hAnsiTheme="majorHAnsi"/>
          <w:b/>
          <w:szCs w:val="24"/>
          <w:lang w:val="en-US"/>
        </w:rPr>
      </w:pPr>
      <w:r w:rsidRPr="00236340">
        <w:rPr>
          <w:rFonts w:asciiTheme="majorHAnsi" w:hAnsiTheme="majorHAnsi"/>
          <w:b/>
          <w:szCs w:val="24"/>
          <w:lang w:val="en-US"/>
        </w:rPr>
        <w:t>Timeframe, d</w:t>
      </w:r>
      <w:r w:rsidR="00DF5E74" w:rsidRPr="00236340">
        <w:rPr>
          <w:rFonts w:asciiTheme="majorHAnsi" w:hAnsiTheme="majorHAnsi"/>
          <w:b/>
          <w:szCs w:val="24"/>
          <w:lang w:val="en-US"/>
        </w:rPr>
        <w:t>eliverables and reporting</w:t>
      </w:r>
    </w:p>
    <w:p w:rsidR="000D3704" w:rsidRDefault="000D3704" w:rsidP="002F242A">
      <w:pPr>
        <w:spacing w:line="240" w:lineRule="auto"/>
        <w:rPr>
          <w:rFonts w:asciiTheme="majorHAnsi" w:hAnsiTheme="majorHAnsi" w:cs="Times New Roman"/>
          <w:szCs w:val="24"/>
        </w:rPr>
      </w:pPr>
    </w:p>
    <w:p w:rsidR="000D3704" w:rsidRDefault="00FB13D0" w:rsidP="002F242A">
      <w:pPr>
        <w:spacing w:line="240" w:lineRule="auto"/>
        <w:rPr>
          <w:rFonts w:asciiTheme="majorHAnsi" w:hAnsiTheme="majorHAnsi" w:cs="Times New Roman"/>
          <w:szCs w:val="24"/>
        </w:rPr>
      </w:pPr>
      <w:r w:rsidRPr="002F242A">
        <w:rPr>
          <w:rFonts w:asciiTheme="majorHAnsi" w:hAnsiTheme="majorHAnsi" w:cs="Times New Roman"/>
          <w:szCs w:val="24"/>
        </w:rPr>
        <w:t xml:space="preserve">The overall duration of the </w:t>
      </w:r>
      <w:r w:rsidR="000D3704">
        <w:rPr>
          <w:rFonts w:asciiTheme="majorHAnsi" w:hAnsiTheme="majorHAnsi"/>
          <w:szCs w:val="24"/>
          <w:lang w:val="en-US"/>
        </w:rPr>
        <w:t xml:space="preserve">“Scaling up Green Finance Practices in the Republic of Armenia” </w:t>
      </w:r>
      <w:r w:rsidR="000D3704">
        <w:rPr>
          <w:rFonts w:asciiTheme="majorHAnsi" w:hAnsiTheme="majorHAnsi" w:cs="Times New Roman"/>
          <w:szCs w:val="24"/>
        </w:rPr>
        <w:t>P</w:t>
      </w:r>
      <w:r w:rsidRPr="002F242A">
        <w:rPr>
          <w:rFonts w:asciiTheme="majorHAnsi" w:hAnsiTheme="majorHAnsi" w:cs="Times New Roman"/>
          <w:szCs w:val="24"/>
        </w:rPr>
        <w:t xml:space="preserve">roject is </w:t>
      </w:r>
      <w:r w:rsidR="000D3704">
        <w:rPr>
          <w:rFonts w:asciiTheme="majorHAnsi" w:hAnsiTheme="majorHAnsi" w:cs="Times New Roman"/>
          <w:szCs w:val="24"/>
        </w:rPr>
        <w:t>24</w:t>
      </w:r>
      <w:r w:rsidRPr="002F242A">
        <w:rPr>
          <w:rFonts w:asciiTheme="majorHAnsi" w:hAnsiTheme="majorHAnsi" w:cs="Times New Roman"/>
          <w:szCs w:val="24"/>
        </w:rPr>
        <w:t xml:space="preserve"> months. </w:t>
      </w:r>
    </w:p>
    <w:p w:rsidR="000D3704" w:rsidRDefault="000D3704" w:rsidP="002F242A">
      <w:pPr>
        <w:spacing w:line="240" w:lineRule="auto"/>
        <w:rPr>
          <w:rFonts w:asciiTheme="majorHAnsi" w:hAnsiTheme="majorHAnsi" w:cs="Times New Roman"/>
          <w:szCs w:val="24"/>
        </w:rPr>
      </w:pPr>
    </w:p>
    <w:p w:rsidR="000D3704" w:rsidRDefault="000D3704" w:rsidP="002F242A">
      <w:pPr>
        <w:spacing w:line="240" w:lineRule="auto"/>
        <w:rPr>
          <w:rFonts w:asciiTheme="majorHAnsi" w:hAnsiTheme="majorHAnsi" w:cs="Times New Roman"/>
          <w:szCs w:val="24"/>
        </w:rPr>
      </w:pPr>
      <w:r>
        <w:rPr>
          <w:rFonts w:asciiTheme="majorHAnsi" w:hAnsiTheme="majorHAnsi" w:cs="Times New Roman"/>
          <w:szCs w:val="24"/>
        </w:rPr>
        <w:t xml:space="preserve">Required services </w:t>
      </w:r>
      <w:r w:rsidR="008C0DFE">
        <w:rPr>
          <w:rFonts w:asciiTheme="majorHAnsi" w:hAnsiTheme="majorHAnsi" w:cs="Times New Roman"/>
          <w:szCs w:val="24"/>
        </w:rPr>
        <w:t>(</w:t>
      </w:r>
      <w:r w:rsidR="008C0DFE" w:rsidRPr="008C0DFE">
        <w:rPr>
          <w:rFonts w:asciiTheme="majorHAnsi" w:hAnsiTheme="majorHAnsi" w:cs="Times New Roman"/>
          <w:b/>
          <w:szCs w:val="24"/>
        </w:rPr>
        <w:t>60 working days</w:t>
      </w:r>
      <w:r w:rsidR="008C0DFE">
        <w:rPr>
          <w:rFonts w:asciiTheme="majorHAnsi" w:hAnsiTheme="majorHAnsi" w:cs="Times New Roman"/>
          <w:szCs w:val="24"/>
        </w:rPr>
        <w:t xml:space="preserve">) </w:t>
      </w:r>
      <w:r>
        <w:rPr>
          <w:rFonts w:asciiTheme="majorHAnsi" w:hAnsiTheme="majorHAnsi" w:cs="Times New Roman"/>
          <w:szCs w:val="24"/>
        </w:rPr>
        <w:t>will have to be delivered during June – August 2020.</w:t>
      </w:r>
    </w:p>
    <w:p w:rsidR="000D3704" w:rsidRDefault="000D3704" w:rsidP="002F242A">
      <w:pPr>
        <w:spacing w:line="240" w:lineRule="auto"/>
        <w:rPr>
          <w:rFonts w:asciiTheme="majorHAnsi" w:hAnsiTheme="majorHAnsi" w:cs="Times New Roman"/>
          <w:szCs w:val="24"/>
        </w:rPr>
      </w:pPr>
    </w:p>
    <w:p w:rsidR="00DF5E74" w:rsidRDefault="00DF5E74" w:rsidP="002F242A">
      <w:pPr>
        <w:spacing w:line="240" w:lineRule="auto"/>
        <w:rPr>
          <w:rFonts w:asciiTheme="majorHAnsi" w:hAnsiTheme="majorHAnsi"/>
          <w:szCs w:val="24"/>
        </w:rPr>
      </w:pPr>
    </w:p>
    <w:p w:rsidR="000D3704" w:rsidRPr="000D3704" w:rsidRDefault="000D3704" w:rsidP="002F242A">
      <w:pPr>
        <w:spacing w:line="240" w:lineRule="auto"/>
        <w:rPr>
          <w:rFonts w:asciiTheme="majorHAnsi" w:hAnsiTheme="majorHAnsi"/>
          <w:b/>
          <w:szCs w:val="24"/>
        </w:rPr>
      </w:pPr>
      <w:r w:rsidRPr="000D3704">
        <w:rPr>
          <w:rFonts w:asciiTheme="majorHAnsi" w:hAnsiTheme="majorHAnsi"/>
          <w:b/>
          <w:szCs w:val="24"/>
        </w:rPr>
        <w:t>Submission Requirements</w:t>
      </w:r>
    </w:p>
    <w:p w:rsidR="000D3704" w:rsidRDefault="000D3704" w:rsidP="002F242A">
      <w:pPr>
        <w:spacing w:line="240" w:lineRule="auto"/>
        <w:rPr>
          <w:rFonts w:asciiTheme="majorHAnsi" w:hAnsiTheme="majorHAnsi"/>
          <w:szCs w:val="24"/>
        </w:rPr>
      </w:pPr>
    </w:p>
    <w:p w:rsidR="00DB43E1" w:rsidRDefault="00DB43E1" w:rsidP="00DB43E1">
      <w:pPr>
        <w:spacing w:line="240" w:lineRule="auto"/>
        <w:rPr>
          <w:rFonts w:asciiTheme="majorHAnsi" w:hAnsiTheme="majorHAnsi"/>
          <w:b/>
          <w:szCs w:val="24"/>
        </w:rPr>
      </w:pPr>
      <w:r>
        <w:rPr>
          <w:rFonts w:asciiTheme="majorHAnsi" w:hAnsiTheme="majorHAnsi"/>
          <w:szCs w:val="24"/>
        </w:rPr>
        <w:t xml:space="preserve">Submission Packages comprised from </w:t>
      </w:r>
      <w:r w:rsidR="00506DF7">
        <w:rPr>
          <w:rFonts w:asciiTheme="majorHAnsi" w:hAnsiTheme="majorHAnsi"/>
          <w:szCs w:val="24"/>
        </w:rPr>
        <w:t>CV</w:t>
      </w:r>
      <w:bookmarkStart w:id="2" w:name="_GoBack"/>
      <w:bookmarkEnd w:id="2"/>
      <w:r>
        <w:rPr>
          <w:rFonts w:asciiTheme="majorHAnsi" w:hAnsiTheme="majorHAnsi"/>
          <w:szCs w:val="24"/>
        </w:rPr>
        <w:t xml:space="preserve"> should be submitted by </w:t>
      </w:r>
      <w:r>
        <w:rPr>
          <w:rFonts w:asciiTheme="majorHAnsi" w:hAnsiTheme="majorHAnsi"/>
          <w:szCs w:val="24"/>
          <w:lang w:val="hy-AM"/>
        </w:rPr>
        <w:t xml:space="preserve">10/06/2020 </w:t>
      </w:r>
      <w:r>
        <w:rPr>
          <w:rFonts w:asciiTheme="majorHAnsi" w:hAnsiTheme="majorHAnsi"/>
          <w:szCs w:val="24"/>
          <w:lang w:val="en-US"/>
        </w:rPr>
        <w:t xml:space="preserve">at </w:t>
      </w:r>
      <w:r>
        <w:rPr>
          <w:rFonts w:asciiTheme="majorHAnsi" w:hAnsiTheme="majorHAnsi"/>
          <w:szCs w:val="24"/>
        </w:rPr>
        <w:t xml:space="preserve">18:00 Yerevan time (15 days after announcement) to the following e-mail address: </w:t>
      </w:r>
      <w:hyperlink r:id="rId8" w:history="1">
        <w:r>
          <w:rPr>
            <w:rStyle w:val="Hyperlink"/>
            <w:rFonts w:asciiTheme="majorHAnsi" w:hAnsiTheme="majorHAnsi"/>
            <w:szCs w:val="24"/>
          </w:rPr>
          <w:t>procurement.</w:t>
        </w:r>
        <w:r>
          <w:rPr>
            <w:rStyle w:val="Hyperlink"/>
            <w:rFonts w:asciiTheme="majorHAnsi" w:hAnsiTheme="majorHAnsi"/>
            <w:szCs w:val="24"/>
            <w:lang w:val="en-US"/>
          </w:rPr>
          <w:t>gcf</w:t>
        </w:r>
        <w:r>
          <w:rPr>
            <w:rStyle w:val="Hyperlink"/>
            <w:rFonts w:asciiTheme="majorHAnsi" w:hAnsiTheme="majorHAnsi"/>
            <w:szCs w:val="24"/>
          </w:rPr>
          <w:t>@armswissbank.am</w:t>
        </w:r>
      </w:hyperlink>
      <w:r>
        <w:t>.  Financial</w:t>
      </w:r>
      <w:r>
        <w:rPr>
          <w:rFonts w:asciiTheme="majorHAnsi" w:hAnsiTheme="majorHAnsi"/>
          <w:szCs w:val="24"/>
        </w:rPr>
        <w:t xml:space="preserve"> Proposal should be submitted by </w:t>
      </w:r>
      <w:r>
        <w:rPr>
          <w:rFonts w:asciiTheme="majorHAnsi" w:hAnsiTheme="majorHAnsi"/>
          <w:szCs w:val="24"/>
          <w:lang w:val="hy-AM"/>
        </w:rPr>
        <w:t xml:space="preserve">10/06/2020 </w:t>
      </w:r>
      <w:r>
        <w:rPr>
          <w:rFonts w:asciiTheme="majorHAnsi" w:hAnsiTheme="majorHAnsi"/>
          <w:szCs w:val="24"/>
          <w:lang w:val="en-US"/>
        </w:rPr>
        <w:t xml:space="preserve">at </w:t>
      </w:r>
      <w:r>
        <w:rPr>
          <w:rFonts w:asciiTheme="majorHAnsi" w:hAnsiTheme="majorHAnsi"/>
          <w:szCs w:val="24"/>
        </w:rPr>
        <w:t xml:space="preserve">18:00 Yerevan time (15 days after announcement) to the following e-mail address: </w:t>
      </w:r>
      <w:r>
        <w:rPr>
          <w:rStyle w:val="Hyperlink"/>
          <w:rFonts w:asciiTheme="majorHAnsi" w:hAnsiTheme="majorHAnsi"/>
          <w:szCs w:val="24"/>
          <w:lang w:val="en-US"/>
        </w:rPr>
        <w:t>priceoffer.gcf</w:t>
      </w:r>
      <w:r>
        <w:rPr>
          <w:rStyle w:val="Hyperlink"/>
          <w:rFonts w:asciiTheme="majorHAnsi" w:hAnsiTheme="majorHAnsi"/>
          <w:szCs w:val="24"/>
        </w:rPr>
        <w:t>@armswissbank.am</w:t>
      </w:r>
      <w:r>
        <w:t>.</w:t>
      </w:r>
    </w:p>
    <w:p w:rsidR="000D3704" w:rsidRDefault="000D3704" w:rsidP="002F242A">
      <w:pPr>
        <w:spacing w:line="240" w:lineRule="auto"/>
        <w:rPr>
          <w:rFonts w:asciiTheme="majorHAnsi" w:hAnsiTheme="majorHAnsi"/>
          <w:szCs w:val="24"/>
        </w:rPr>
      </w:pPr>
    </w:p>
    <w:p w:rsidR="000D3704" w:rsidRPr="000D3704" w:rsidRDefault="000D3704" w:rsidP="000D3704">
      <w:pPr>
        <w:spacing w:line="240" w:lineRule="auto"/>
        <w:rPr>
          <w:rFonts w:asciiTheme="majorHAnsi" w:hAnsiTheme="majorHAnsi"/>
          <w:szCs w:val="24"/>
        </w:rPr>
      </w:pPr>
      <w:r w:rsidRPr="000D3704">
        <w:rPr>
          <w:rFonts w:asciiTheme="majorHAnsi" w:hAnsiTheme="majorHAnsi"/>
          <w:szCs w:val="24"/>
        </w:rPr>
        <w:t xml:space="preserve">Services proposed shall be reviewed and evaluated based on completeness and compliance of the Proposal and responsiveness with the requirements of </w:t>
      </w:r>
      <w:r w:rsidR="002D2E5D">
        <w:rPr>
          <w:rFonts w:asciiTheme="majorHAnsi" w:hAnsiTheme="majorHAnsi"/>
          <w:szCs w:val="24"/>
        </w:rPr>
        <w:t>this</w:t>
      </w:r>
      <w:r w:rsidRPr="000D3704">
        <w:rPr>
          <w:rFonts w:asciiTheme="majorHAnsi" w:hAnsiTheme="majorHAnsi"/>
          <w:szCs w:val="24"/>
        </w:rPr>
        <w:t xml:space="preserve"> RFP.   </w:t>
      </w:r>
    </w:p>
    <w:p w:rsidR="000D3704" w:rsidRPr="000D3704" w:rsidRDefault="000D3704" w:rsidP="000D3704">
      <w:pPr>
        <w:spacing w:line="240" w:lineRule="auto"/>
        <w:rPr>
          <w:rFonts w:asciiTheme="majorHAnsi" w:hAnsiTheme="majorHAnsi"/>
          <w:szCs w:val="24"/>
        </w:rPr>
      </w:pPr>
    </w:p>
    <w:p w:rsidR="000D3704" w:rsidRPr="000D3704" w:rsidRDefault="000D3704" w:rsidP="000D3704">
      <w:pPr>
        <w:spacing w:line="240" w:lineRule="auto"/>
        <w:rPr>
          <w:rFonts w:asciiTheme="majorHAnsi" w:hAnsiTheme="majorHAnsi"/>
          <w:szCs w:val="24"/>
        </w:rPr>
      </w:pPr>
      <w:r w:rsidRPr="000D3704">
        <w:rPr>
          <w:rFonts w:asciiTheme="majorHAnsi" w:hAnsiTheme="majorHAnsi"/>
          <w:szCs w:val="24"/>
        </w:rPr>
        <w:lastRenderedPageBreak/>
        <w:t xml:space="preserve">The Proposal that complies with all of the </w:t>
      </w:r>
      <w:r w:rsidR="002D2E5D" w:rsidRPr="000D3704">
        <w:rPr>
          <w:rFonts w:asciiTheme="majorHAnsi" w:hAnsiTheme="majorHAnsi"/>
          <w:szCs w:val="24"/>
        </w:rPr>
        <w:t>requirements</w:t>
      </w:r>
      <w:r w:rsidRPr="000D3704">
        <w:rPr>
          <w:rFonts w:asciiTheme="majorHAnsi" w:hAnsiTheme="majorHAnsi"/>
          <w:szCs w:val="24"/>
        </w:rPr>
        <w:t xml:space="preserve"> meets all the evaluation criteria and offers the best value for money shall be selected and awarded the contract.  Any offer that does not meet the requirements shall be rejected. </w:t>
      </w:r>
    </w:p>
    <w:sectPr w:rsidR="000D3704" w:rsidRPr="000D3704" w:rsidSect="002F242A">
      <w:headerReference w:type="default" r:id="rId9"/>
      <w:footerReference w:type="default" r:id="rId10"/>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EF2" w:rsidRDefault="00A10EF2" w:rsidP="001314F0">
      <w:pPr>
        <w:spacing w:line="240" w:lineRule="auto"/>
      </w:pPr>
      <w:r>
        <w:separator/>
      </w:r>
    </w:p>
  </w:endnote>
  <w:endnote w:type="continuationSeparator" w:id="0">
    <w:p w:rsidR="00A10EF2" w:rsidRDefault="00A10EF2" w:rsidP="00131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48643"/>
      <w:docPartObj>
        <w:docPartGallery w:val="Page Numbers (Bottom of Page)"/>
        <w:docPartUnique/>
      </w:docPartObj>
    </w:sdtPr>
    <w:sdtEndPr>
      <w:rPr>
        <w:noProof/>
      </w:rPr>
    </w:sdtEndPr>
    <w:sdtContent>
      <w:p w:rsidR="000D3704" w:rsidRDefault="00AA11BC">
        <w:pPr>
          <w:pStyle w:val="Footer"/>
          <w:jc w:val="center"/>
        </w:pPr>
        <w:r>
          <w:rPr>
            <w:noProof/>
          </w:rPr>
          <w:fldChar w:fldCharType="begin"/>
        </w:r>
        <w:r w:rsidR="00DD6BF7">
          <w:rPr>
            <w:noProof/>
          </w:rPr>
          <w:instrText xml:space="preserve"> PAGE   \* MERGEFORMAT </w:instrText>
        </w:r>
        <w:r>
          <w:rPr>
            <w:noProof/>
          </w:rPr>
          <w:fldChar w:fldCharType="separate"/>
        </w:r>
        <w:r w:rsidR="00506DF7">
          <w:rPr>
            <w:noProof/>
          </w:rPr>
          <w:t>3</w:t>
        </w:r>
        <w:r>
          <w:rPr>
            <w:noProof/>
          </w:rPr>
          <w:fldChar w:fldCharType="end"/>
        </w:r>
      </w:p>
    </w:sdtContent>
  </w:sdt>
  <w:p w:rsidR="000D3704" w:rsidRDefault="000D3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EF2" w:rsidRDefault="00A10EF2" w:rsidP="001314F0">
      <w:pPr>
        <w:spacing w:line="240" w:lineRule="auto"/>
      </w:pPr>
      <w:r>
        <w:separator/>
      </w:r>
    </w:p>
  </w:footnote>
  <w:footnote w:type="continuationSeparator" w:id="0">
    <w:p w:rsidR="00A10EF2" w:rsidRDefault="00A10EF2" w:rsidP="001314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704" w:rsidRDefault="000D3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EC9"/>
    <w:multiLevelType w:val="hybridMultilevel"/>
    <w:tmpl w:val="889E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B409D"/>
    <w:multiLevelType w:val="hybridMultilevel"/>
    <w:tmpl w:val="77E4E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95899"/>
    <w:multiLevelType w:val="hybridMultilevel"/>
    <w:tmpl w:val="606A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43BEC"/>
    <w:multiLevelType w:val="hybridMultilevel"/>
    <w:tmpl w:val="3120F1CC"/>
    <w:lvl w:ilvl="0" w:tplc="33FCD00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2B6225"/>
    <w:multiLevelType w:val="hybridMultilevel"/>
    <w:tmpl w:val="0ADE4E30"/>
    <w:lvl w:ilvl="0" w:tplc="8EBC3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D06046"/>
    <w:rsid w:val="0000307E"/>
    <w:rsid w:val="00033420"/>
    <w:rsid w:val="000353B4"/>
    <w:rsid w:val="000417F9"/>
    <w:rsid w:val="000474B8"/>
    <w:rsid w:val="00083EEA"/>
    <w:rsid w:val="0009724E"/>
    <w:rsid w:val="000A3061"/>
    <w:rsid w:val="000C7FBA"/>
    <w:rsid w:val="000D22B8"/>
    <w:rsid w:val="000D3704"/>
    <w:rsid w:val="000E017D"/>
    <w:rsid w:val="000F49D6"/>
    <w:rsid w:val="0011011B"/>
    <w:rsid w:val="00110905"/>
    <w:rsid w:val="00116368"/>
    <w:rsid w:val="001314F0"/>
    <w:rsid w:val="00153078"/>
    <w:rsid w:val="001538B7"/>
    <w:rsid w:val="001556F4"/>
    <w:rsid w:val="00157AAF"/>
    <w:rsid w:val="00161185"/>
    <w:rsid w:val="00167B47"/>
    <w:rsid w:val="00180EDC"/>
    <w:rsid w:val="001A7EDA"/>
    <w:rsid w:val="001B3C82"/>
    <w:rsid w:val="001F67FA"/>
    <w:rsid w:val="001F7C39"/>
    <w:rsid w:val="00236340"/>
    <w:rsid w:val="002428D9"/>
    <w:rsid w:val="00242FE1"/>
    <w:rsid w:val="00247A1B"/>
    <w:rsid w:val="00263A9A"/>
    <w:rsid w:val="00275237"/>
    <w:rsid w:val="00285D1D"/>
    <w:rsid w:val="00286911"/>
    <w:rsid w:val="002A07DE"/>
    <w:rsid w:val="002B35EA"/>
    <w:rsid w:val="002D2E5D"/>
    <w:rsid w:val="002D4530"/>
    <w:rsid w:val="002E3AB1"/>
    <w:rsid w:val="002F242A"/>
    <w:rsid w:val="003056C9"/>
    <w:rsid w:val="003201D4"/>
    <w:rsid w:val="00321716"/>
    <w:rsid w:val="00324CC2"/>
    <w:rsid w:val="003472F5"/>
    <w:rsid w:val="00355B6D"/>
    <w:rsid w:val="00364ED2"/>
    <w:rsid w:val="00371935"/>
    <w:rsid w:val="0037716F"/>
    <w:rsid w:val="003C4295"/>
    <w:rsid w:val="003C6CBE"/>
    <w:rsid w:val="003C6E12"/>
    <w:rsid w:val="003D12B8"/>
    <w:rsid w:val="003E6025"/>
    <w:rsid w:val="004016D5"/>
    <w:rsid w:val="00410A8B"/>
    <w:rsid w:val="00422931"/>
    <w:rsid w:val="00452D7D"/>
    <w:rsid w:val="004551EB"/>
    <w:rsid w:val="00465643"/>
    <w:rsid w:val="004817FF"/>
    <w:rsid w:val="00490672"/>
    <w:rsid w:val="004A393A"/>
    <w:rsid w:val="004B2A75"/>
    <w:rsid w:val="004B3B00"/>
    <w:rsid w:val="004B5BB9"/>
    <w:rsid w:val="004C6003"/>
    <w:rsid w:val="004D7672"/>
    <w:rsid w:val="004F1CA5"/>
    <w:rsid w:val="004F4200"/>
    <w:rsid w:val="00505A24"/>
    <w:rsid w:val="00506DF7"/>
    <w:rsid w:val="0052278E"/>
    <w:rsid w:val="00524172"/>
    <w:rsid w:val="00543EFD"/>
    <w:rsid w:val="005457AE"/>
    <w:rsid w:val="00546AA5"/>
    <w:rsid w:val="00552403"/>
    <w:rsid w:val="00552F17"/>
    <w:rsid w:val="005674CB"/>
    <w:rsid w:val="00574699"/>
    <w:rsid w:val="005802FA"/>
    <w:rsid w:val="0058426F"/>
    <w:rsid w:val="00584865"/>
    <w:rsid w:val="005878AC"/>
    <w:rsid w:val="005D12ED"/>
    <w:rsid w:val="005F12BD"/>
    <w:rsid w:val="005F389E"/>
    <w:rsid w:val="005F6448"/>
    <w:rsid w:val="00602F23"/>
    <w:rsid w:val="006335C9"/>
    <w:rsid w:val="00635ED4"/>
    <w:rsid w:val="0069126C"/>
    <w:rsid w:val="006A075B"/>
    <w:rsid w:val="006A5801"/>
    <w:rsid w:val="006C5C71"/>
    <w:rsid w:val="006D5787"/>
    <w:rsid w:val="006E43C9"/>
    <w:rsid w:val="007637A0"/>
    <w:rsid w:val="00785186"/>
    <w:rsid w:val="00794A2B"/>
    <w:rsid w:val="007A460D"/>
    <w:rsid w:val="007A6B5A"/>
    <w:rsid w:val="007B67B7"/>
    <w:rsid w:val="007D4054"/>
    <w:rsid w:val="007D56DB"/>
    <w:rsid w:val="007E75FF"/>
    <w:rsid w:val="00810060"/>
    <w:rsid w:val="00851D2A"/>
    <w:rsid w:val="008569A3"/>
    <w:rsid w:val="0087514D"/>
    <w:rsid w:val="00896548"/>
    <w:rsid w:val="008B06DB"/>
    <w:rsid w:val="008B6022"/>
    <w:rsid w:val="008C0DFE"/>
    <w:rsid w:val="008D09CD"/>
    <w:rsid w:val="008D4F9B"/>
    <w:rsid w:val="008D739D"/>
    <w:rsid w:val="008E3BC9"/>
    <w:rsid w:val="008E3DFF"/>
    <w:rsid w:val="008E422C"/>
    <w:rsid w:val="0090645C"/>
    <w:rsid w:val="00914793"/>
    <w:rsid w:val="00916549"/>
    <w:rsid w:val="009214A6"/>
    <w:rsid w:val="009456C0"/>
    <w:rsid w:val="00960B27"/>
    <w:rsid w:val="0098258E"/>
    <w:rsid w:val="009B36DF"/>
    <w:rsid w:val="009C5C23"/>
    <w:rsid w:val="009D06C8"/>
    <w:rsid w:val="009D3233"/>
    <w:rsid w:val="009D7C91"/>
    <w:rsid w:val="00A06840"/>
    <w:rsid w:val="00A10EF2"/>
    <w:rsid w:val="00A14EB8"/>
    <w:rsid w:val="00A2197B"/>
    <w:rsid w:val="00A21983"/>
    <w:rsid w:val="00A26128"/>
    <w:rsid w:val="00A30316"/>
    <w:rsid w:val="00A81C2A"/>
    <w:rsid w:val="00A86CD4"/>
    <w:rsid w:val="00AA11BC"/>
    <w:rsid w:val="00AC1EFF"/>
    <w:rsid w:val="00AE1E1C"/>
    <w:rsid w:val="00AE3876"/>
    <w:rsid w:val="00AE4811"/>
    <w:rsid w:val="00B055A8"/>
    <w:rsid w:val="00B27A97"/>
    <w:rsid w:val="00B515BD"/>
    <w:rsid w:val="00B5627E"/>
    <w:rsid w:val="00B61C75"/>
    <w:rsid w:val="00BB44F8"/>
    <w:rsid w:val="00BB6DF8"/>
    <w:rsid w:val="00BD52F0"/>
    <w:rsid w:val="00BF1DBD"/>
    <w:rsid w:val="00C021F8"/>
    <w:rsid w:val="00C03BB7"/>
    <w:rsid w:val="00C2009E"/>
    <w:rsid w:val="00C24564"/>
    <w:rsid w:val="00C3253A"/>
    <w:rsid w:val="00C432EF"/>
    <w:rsid w:val="00C44AF6"/>
    <w:rsid w:val="00C55D49"/>
    <w:rsid w:val="00C55EAF"/>
    <w:rsid w:val="00C619B1"/>
    <w:rsid w:val="00C709AF"/>
    <w:rsid w:val="00C813B5"/>
    <w:rsid w:val="00C828AA"/>
    <w:rsid w:val="00C82B2D"/>
    <w:rsid w:val="00C916E4"/>
    <w:rsid w:val="00CA2494"/>
    <w:rsid w:val="00CA3A34"/>
    <w:rsid w:val="00D06046"/>
    <w:rsid w:val="00D110EA"/>
    <w:rsid w:val="00D14E77"/>
    <w:rsid w:val="00D157DB"/>
    <w:rsid w:val="00D16FB7"/>
    <w:rsid w:val="00D47E52"/>
    <w:rsid w:val="00D56C48"/>
    <w:rsid w:val="00D67BBE"/>
    <w:rsid w:val="00D707CF"/>
    <w:rsid w:val="00D723E2"/>
    <w:rsid w:val="00D73A52"/>
    <w:rsid w:val="00D96865"/>
    <w:rsid w:val="00DA3981"/>
    <w:rsid w:val="00DB43E1"/>
    <w:rsid w:val="00DB647D"/>
    <w:rsid w:val="00DB7413"/>
    <w:rsid w:val="00DC1640"/>
    <w:rsid w:val="00DD2F17"/>
    <w:rsid w:val="00DD6BF7"/>
    <w:rsid w:val="00DE1B2D"/>
    <w:rsid w:val="00DE36E5"/>
    <w:rsid w:val="00DF32EB"/>
    <w:rsid w:val="00DF3C1C"/>
    <w:rsid w:val="00DF5E74"/>
    <w:rsid w:val="00E01C27"/>
    <w:rsid w:val="00E16812"/>
    <w:rsid w:val="00E17DCF"/>
    <w:rsid w:val="00E53405"/>
    <w:rsid w:val="00E647ED"/>
    <w:rsid w:val="00E8248D"/>
    <w:rsid w:val="00E858E3"/>
    <w:rsid w:val="00E943E0"/>
    <w:rsid w:val="00EC7792"/>
    <w:rsid w:val="00EE3900"/>
    <w:rsid w:val="00EF2EA8"/>
    <w:rsid w:val="00F248C0"/>
    <w:rsid w:val="00F31D2D"/>
    <w:rsid w:val="00F44C43"/>
    <w:rsid w:val="00F75AF9"/>
    <w:rsid w:val="00F760F6"/>
    <w:rsid w:val="00FB13D0"/>
    <w:rsid w:val="00FB29E5"/>
    <w:rsid w:val="00FC25FB"/>
    <w:rsid w:val="00FD230D"/>
    <w:rsid w:val="00FD5718"/>
    <w:rsid w:val="00FF04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1DAF254F-6444-4954-B0F2-C9CA266D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EA"/>
    <w:pPr>
      <w:spacing w:after="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B515BD"/>
    <w:pPr>
      <w:keepNext/>
      <w:keepLines/>
      <w:pBdr>
        <w:bottom w:val="single" w:sz="4" w:space="1" w:color="4F81BD" w:themeColor="accent1"/>
      </w:pBdr>
      <w:spacing w:after="120" w:line="240" w:lineRule="auto"/>
      <w:outlineLvl w:val="0"/>
    </w:pPr>
    <w:rPr>
      <w:rFonts w:eastAsiaTheme="majorEastAsia" w:cstheme="majorBidi"/>
      <w:smallCaps/>
      <w:color w:val="365F91" w:themeColor="accent1" w:themeShade="BF"/>
      <w:sz w:val="36"/>
      <w:szCs w:val="36"/>
    </w:rPr>
  </w:style>
  <w:style w:type="paragraph" w:styleId="Heading2">
    <w:name w:val="heading 2"/>
    <w:basedOn w:val="Normal"/>
    <w:next w:val="Normal"/>
    <w:link w:val="Heading2Char"/>
    <w:uiPriority w:val="9"/>
    <w:unhideWhenUsed/>
    <w:qFormat/>
    <w:rsid w:val="00C82B2D"/>
    <w:pPr>
      <w:keepNext/>
      <w:keepLines/>
      <w:spacing w:before="240" w:after="120" w:line="240" w:lineRule="auto"/>
      <w:ind w:left="284"/>
      <w:outlineLvl w:val="1"/>
    </w:pPr>
    <w:rPr>
      <w:rFonts w:eastAsiaTheme="majorEastAsia" w:cstheme="majorBidi"/>
      <w:b/>
      <w:smallCaps/>
      <w:color w:val="984806" w:themeColor="accent6" w:themeShade="80"/>
      <w:sz w:val="28"/>
      <w:szCs w:val="28"/>
    </w:rPr>
  </w:style>
  <w:style w:type="paragraph" w:styleId="Heading3">
    <w:name w:val="heading 3"/>
    <w:basedOn w:val="Normal"/>
    <w:next w:val="Normal"/>
    <w:link w:val="Heading3Char"/>
    <w:uiPriority w:val="9"/>
    <w:unhideWhenUsed/>
    <w:qFormat/>
    <w:rsid w:val="00C82B2D"/>
    <w:pPr>
      <w:keepNext/>
      <w:keepLines/>
      <w:spacing w:before="120" w:after="120" w:line="240" w:lineRule="auto"/>
      <w:ind w:left="567"/>
      <w:outlineLvl w:val="2"/>
    </w:pPr>
    <w:rPr>
      <w:rFonts w:eastAsiaTheme="majorEastAsia" w:cstheme="majorBidi"/>
      <w:b/>
      <w:color w:val="1F497D" w:themeColor="text2"/>
      <w:szCs w:val="26"/>
      <w:u w:val="single"/>
    </w:rPr>
  </w:style>
  <w:style w:type="paragraph" w:styleId="Heading4">
    <w:name w:val="heading 4"/>
    <w:basedOn w:val="Normal"/>
    <w:next w:val="Normal"/>
    <w:link w:val="Heading4Char"/>
    <w:uiPriority w:val="9"/>
    <w:semiHidden/>
    <w:unhideWhenUsed/>
    <w:qFormat/>
    <w:rsid w:val="005F389E"/>
    <w:pPr>
      <w:keepNext/>
      <w:keepLines/>
      <w:spacing w:before="8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5F389E"/>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F389E"/>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F389E"/>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F389E"/>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F389E"/>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BD"/>
    <w:rPr>
      <w:rFonts w:ascii="Times New Roman" w:eastAsiaTheme="majorEastAsia" w:hAnsi="Times New Roman" w:cstheme="majorBidi"/>
      <w:smallCaps/>
      <w:color w:val="365F91" w:themeColor="accent1" w:themeShade="BF"/>
      <w:sz w:val="36"/>
      <w:szCs w:val="36"/>
    </w:rPr>
  </w:style>
  <w:style w:type="character" w:customStyle="1" w:styleId="Heading2Char">
    <w:name w:val="Heading 2 Char"/>
    <w:basedOn w:val="DefaultParagraphFont"/>
    <w:link w:val="Heading2"/>
    <w:uiPriority w:val="9"/>
    <w:rsid w:val="00C82B2D"/>
    <w:rPr>
      <w:rFonts w:ascii="Times New Roman" w:eastAsiaTheme="majorEastAsia" w:hAnsi="Times New Roman" w:cstheme="majorBidi"/>
      <w:b/>
      <w:smallCaps/>
      <w:color w:val="984806" w:themeColor="accent6" w:themeShade="80"/>
      <w:sz w:val="28"/>
      <w:szCs w:val="28"/>
    </w:rPr>
  </w:style>
  <w:style w:type="character" w:customStyle="1" w:styleId="Heading3Char">
    <w:name w:val="Heading 3 Char"/>
    <w:basedOn w:val="DefaultParagraphFont"/>
    <w:link w:val="Heading3"/>
    <w:uiPriority w:val="9"/>
    <w:rsid w:val="00C82B2D"/>
    <w:rPr>
      <w:rFonts w:ascii="Times New Roman" w:eastAsiaTheme="majorEastAsia" w:hAnsi="Times New Roman" w:cstheme="majorBidi"/>
      <w:b/>
      <w:color w:val="1F497D" w:themeColor="text2"/>
      <w:sz w:val="24"/>
      <w:szCs w:val="26"/>
      <w:u w:val="single"/>
    </w:rPr>
  </w:style>
  <w:style w:type="character" w:customStyle="1" w:styleId="Heading4Char">
    <w:name w:val="Heading 4 Char"/>
    <w:basedOn w:val="DefaultParagraphFont"/>
    <w:link w:val="Heading4"/>
    <w:uiPriority w:val="9"/>
    <w:semiHidden/>
    <w:rsid w:val="005F389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F389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F389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F389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F389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F389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F389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5F389E"/>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5F389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5F389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F389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F389E"/>
    <w:rPr>
      <w:b/>
      <w:bCs/>
    </w:rPr>
  </w:style>
  <w:style w:type="character" w:styleId="Emphasis">
    <w:name w:val="Emphasis"/>
    <w:basedOn w:val="DefaultParagraphFont"/>
    <w:uiPriority w:val="20"/>
    <w:qFormat/>
    <w:rsid w:val="005F389E"/>
    <w:rPr>
      <w:i/>
      <w:iCs/>
    </w:rPr>
  </w:style>
  <w:style w:type="paragraph" w:styleId="NoSpacing">
    <w:name w:val="No Spacing"/>
    <w:uiPriority w:val="1"/>
    <w:qFormat/>
    <w:rsid w:val="005F389E"/>
    <w:pPr>
      <w:spacing w:after="0" w:line="240" w:lineRule="auto"/>
    </w:pPr>
  </w:style>
  <w:style w:type="paragraph" w:styleId="Quote">
    <w:name w:val="Quote"/>
    <w:basedOn w:val="Normal"/>
    <w:next w:val="Normal"/>
    <w:link w:val="QuoteChar"/>
    <w:uiPriority w:val="29"/>
    <w:qFormat/>
    <w:rsid w:val="005F389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F389E"/>
    <w:rPr>
      <w:i/>
      <w:iCs/>
    </w:rPr>
  </w:style>
  <w:style w:type="paragraph" w:styleId="IntenseQuote">
    <w:name w:val="Intense Quote"/>
    <w:basedOn w:val="Normal"/>
    <w:next w:val="Normal"/>
    <w:link w:val="IntenseQuoteChar"/>
    <w:uiPriority w:val="30"/>
    <w:qFormat/>
    <w:rsid w:val="005F389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F389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F389E"/>
    <w:rPr>
      <w:i/>
      <w:iCs/>
      <w:color w:val="595959" w:themeColor="text1" w:themeTint="A6"/>
    </w:rPr>
  </w:style>
  <w:style w:type="character" w:styleId="IntenseEmphasis">
    <w:name w:val="Intense Emphasis"/>
    <w:basedOn w:val="DefaultParagraphFont"/>
    <w:uiPriority w:val="21"/>
    <w:qFormat/>
    <w:rsid w:val="005F389E"/>
    <w:rPr>
      <w:b/>
      <w:bCs/>
      <w:i/>
      <w:iCs/>
    </w:rPr>
  </w:style>
  <w:style w:type="character" w:styleId="SubtleReference">
    <w:name w:val="Subtle Reference"/>
    <w:basedOn w:val="DefaultParagraphFont"/>
    <w:uiPriority w:val="31"/>
    <w:qFormat/>
    <w:rsid w:val="005F389E"/>
    <w:rPr>
      <w:smallCaps/>
      <w:color w:val="404040" w:themeColor="text1" w:themeTint="BF"/>
    </w:rPr>
  </w:style>
  <w:style w:type="character" w:styleId="IntenseReference">
    <w:name w:val="Intense Reference"/>
    <w:basedOn w:val="DefaultParagraphFont"/>
    <w:uiPriority w:val="32"/>
    <w:qFormat/>
    <w:rsid w:val="005F389E"/>
    <w:rPr>
      <w:b/>
      <w:bCs/>
      <w:smallCaps/>
      <w:u w:val="single"/>
    </w:rPr>
  </w:style>
  <w:style w:type="character" w:styleId="BookTitle">
    <w:name w:val="Book Title"/>
    <w:basedOn w:val="DefaultParagraphFont"/>
    <w:uiPriority w:val="33"/>
    <w:qFormat/>
    <w:rsid w:val="005F389E"/>
    <w:rPr>
      <w:b/>
      <w:bCs/>
      <w:smallCaps/>
    </w:rPr>
  </w:style>
  <w:style w:type="paragraph" w:styleId="TOCHeading">
    <w:name w:val="TOC Heading"/>
    <w:basedOn w:val="Heading1"/>
    <w:next w:val="Normal"/>
    <w:uiPriority w:val="39"/>
    <w:semiHidden/>
    <w:unhideWhenUsed/>
    <w:qFormat/>
    <w:rsid w:val="005F389E"/>
    <w:pPr>
      <w:outlineLvl w:val="9"/>
    </w:pPr>
  </w:style>
  <w:style w:type="paragraph" w:styleId="ListParagraph">
    <w:name w:val="List Paragraph"/>
    <w:aliases w:val="List Paragraph (numbered (a)),List_Paragraph,Multilevel para_II,List Paragraph1,List Paragraph-ExecSummary,Akapit z listą BS,Bullets,List Paragraph 1,References,IBL List Paragraph,List Paragraph nowy,Numbered List Paragraph,Bullet1,lp1"/>
    <w:basedOn w:val="Normal"/>
    <w:link w:val="ListParagraphChar"/>
    <w:uiPriority w:val="34"/>
    <w:qFormat/>
    <w:rsid w:val="00E01C27"/>
    <w:pPr>
      <w:ind w:left="720"/>
      <w:contextualSpacing/>
    </w:pPr>
  </w:style>
  <w:style w:type="table" w:styleId="TableGrid">
    <w:name w:val="Table Grid"/>
    <w:basedOn w:val="TableNormal"/>
    <w:uiPriority w:val="59"/>
    <w:rsid w:val="0009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9724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eader">
    <w:name w:val="header"/>
    <w:basedOn w:val="Normal"/>
    <w:link w:val="HeaderChar"/>
    <w:uiPriority w:val="99"/>
    <w:unhideWhenUsed/>
    <w:rsid w:val="001314F0"/>
    <w:pPr>
      <w:tabs>
        <w:tab w:val="center" w:pos="4680"/>
        <w:tab w:val="right" w:pos="9360"/>
      </w:tabs>
      <w:spacing w:line="240" w:lineRule="auto"/>
    </w:pPr>
  </w:style>
  <w:style w:type="character" w:customStyle="1" w:styleId="HeaderChar">
    <w:name w:val="Header Char"/>
    <w:basedOn w:val="DefaultParagraphFont"/>
    <w:link w:val="Header"/>
    <w:uiPriority w:val="99"/>
    <w:rsid w:val="001314F0"/>
    <w:rPr>
      <w:rFonts w:ascii="Times New Roman" w:hAnsi="Times New Roman"/>
      <w:sz w:val="24"/>
    </w:rPr>
  </w:style>
  <w:style w:type="paragraph" w:styleId="Footer">
    <w:name w:val="footer"/>
    <w:basedOn w:val="Normal"/>
    <w:link w:val="FooterChar"/>
    <w:uiPriority w:val="99"/>
    <w:unhideWhenUsed/>
    <w:rsid w:val="001314F0"/>
    <w:pPr>
      <w:tabs>
        <w:tab w:val="center" w:pos="4680"/>
        <w:tab w:val="right" w:pos="9360"/>
      </w:tabs>
      <w:spacing w:line="240" w:lineRule="auto"/>
    </w:pPr>
  </w:style>
  <w:style w:type="character" w:customStyle="1" w:styleId="FooterChar">
    <w:name w:val="Footer Char"/>
    <w:basedOn w:val="DefaultParagraphFont"/>
    <w:link w:val="Footer"/>
    <w:uiPriority w:val="99"/>
    <w:rsid w:val="001314F0"/>
    <w:rPr>
      <w:rFonts w:ascii="Times New Roman" w:hAnsi="Times New Roman"/>
      <w:sz w:val="24"/>
    </w:rPr>
  </w:style>
  <w:style w:type="character" w:customStyle="1" w:styleId="ListParagraphChar">
    <w:name w:val="List Paragraph Char"/>
    <w:aliases w:val="List Paragraph (numbered (a)) Char,List_Paragraph Char,Multilevel para_II Char,List Paragraph1 Char,List Paragraph-ExecSummary Char,Akapit z listą BS Char,Bullets Char,List Paragraph 1 Char,References Char,IBL List Paragraph Char"/>
    <w:link w:val="ListParagraph"/>
    <w:uiPriority w:val="34"/>
    <w:qFormat/>
    <w:rsid w:val="00C916E4"/>
    <w:rPr>
      <w:rFonts w:ascii="Times New Roman" w:hAnsi="Times New Roman"/>
      <w:sz w:val="24"/>
    </w:rPr>
  </w:style>
  <w:style w:type="character" w:styleId="Hyperlink">
    <w:name w:val="Hyperlink"/>
    <w:basedOn w:val="DefaultParagraphFont"/>
    <w:uiPriority w:val="99"/>
    <w:unhideWhenUsed/>
    <w:rsid w:val="000D3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8456">
      <w:bodyDiv w:val="1"/>
      <w:marLeft w:val="0"/>
      <w:marRight w:val="0"/>
      <w:marTop w:val="0"/>
      <w:marBottom w:val="0"/>
      <w:divBdr>
        <w:top w:val="none" w:sz="0" w:space="0" w:color="auto"/>
        <w:left w:val="none" w:sz="0" w:space="0" w:color="auto"/>
        <w:bottom w:val="none" w:sz="0" w:space="0" w:color="auto"/>
        <w:right w:val="none" w:sz="0" w:space="0" w:color="auto"/>
      </w:divBdr>
    </w:div>
    <w:div w:id="355694110">
      <w:bodyDiv w:val="1"/>
      <w:marLeft w:val="0"/>
      <w:marRight w:val="0"/>
      <w:marTop w:val="0"/>
      <w:marBottom w:val="0"/>
      <w:divBdr>
        <w:top w:val="none" w:sz="0" w:space="0" w:color="auto"/>
        <w:left w:val="none" w:sz="0" w:space="0" w:color="auto"/>
        <w:bottom w:val="none" w:sz="0" w:space="0" w:color="auto"/>
        <w:right w:val="none" w:sz="0" w:space="0" w:color="auto"/>
      </w:divBdr>
    </w:div>
    <w:div w:id="512112754">
      <w:bodyDiv w:val="1"/>
      <w:marLeft w:val="0"/>
      <w:marRight w:val="0"/>
      <w:marTop w:val="0"/>
      <w:marBottom w:val="0"/>
      <w:divBdr>
        <w:top w:val="none" w:sz="0" w:space="0" w:color="auto"/>
        <w:left w:val="none" w:sz="0" w:space="0" w:color="auto"/>
        <w:bottom w:val="none" w:sz="0" w:space="0" w:color="auto"/>
        <w:right w:val="none" w:sz="0" w:space="0" w:color="auto"/>
      </w:divBdr>
    </w:div>
    <w:div w:id="1023170211">
      <w:bodyDiv w:val="1"/>
      <w:marLeft w:val="0"/>
      <w:marRight w:val="0"/>
      <w:marTop w:val="0"/>
      <w:marBottom w:val="0"/>
      <w:divBdr>
        <w:top w:val="none" w:sz="0" w:space="0" w:color="auto"/>
        <w:left w:val="none" w:sz="0" w:space="0" w:color="auto"/>
        <w:bottom w:val="none" w:sz="0" w:space="0" w:color="auto"/>
        <w:right w:val="none" w:sz="0" w:space="0" w:color="auto"/>
      </w:divBdr>
    </w:div>
    <w:div w:id="15132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gcf@armswissban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087F-8533-432F-9F52-412211A2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 Makaryan</dc:creator>
  <cp:lastModifiedBy>Ara Makaryan</cp:lastModifiedBy>
  <cp:revision>14</cp:revision>
  <cp:lastPrinted>2019-11-10T16:33:00Z</cp:lastPrinted>
  <dcterms:created xsi:type="dcterms:W3CDTF">2020-05-18T17:38:00Z</dcterms:created>
  <dcterms:modified xsi:type="dcterms:W3CDTF">2020-06-01T06:43:00Z</dcterms:modified>
</cp:coreProperties>
</file>