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0E9F" w14:textId="010EFE2D" w:rsidR="00B624CF" w:rsidRDefault="002F1A2E" w:rsidP="00CF52B3">
      <w:pPr>
        <w:rPr>
          <w:b/>
          <w:bCs/>
          <w:color w:val="000000" w:themeColor="text1"/>
          <w:sz w:val="22"/>
          <w:szCs w:val="22"/>
          <w:lang w:val="en-US"/>
        </w:rPr>
      </w:pPr>
      <w:r>
        <w:rPr>
          <w:noProof/>
        </w:rPr>
        <w:drawing>
          <wp:anchor distT="0" distB="0" distL="114300" distR="114300" simplePos="0" relativeHeight="251660288" behindDoc="0" locked="0" layoutInCell="1" allowOverlap="1" wp14:anchorId="467093D7" wp14:editId="62EDC85C">
            <wp:simplePos x="0" y="0"/>
            <wp:positionH relativeFrom="margin">
              <wp:align>left</wp:align>
            </wp:positionH>
            <wp:positionV relativeFrom="page">
              <wp:posOffset>252095</wp:posOffset>
            </wp:positionV>
            <wp:extent cx="1276350" cy="598170"/>
            <wp:effectExtent l="0" t="0" r="0" b="0"/>
            <wp:wrapSquare wrapText="bothSides"/>
            <wp:docPr id="98561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4CF" w:rsidRPr="00252DB2">
        <w:rPr>
          <w:rFonts w:asciiTheme="majorBidi" w:hAnsiTheme="majorBidi" w:cstheme="majorBidi"/>
          <w:b/>
          <w:bCs/>
          <w:noProof/>
          <w:lang w:val="de-DE" w:eastAsia="de-DE"/>
        </w:rPr>
        <w:drawing>
          <wp:anchor distT="0" distB="0" distL="114300" distR="114300" simplePos="0" relativeHeight="251659264" behindDoc="1" locked="0" layoutInCell="1" allowOverlap="1" wp14:anchorId="798A42E5" wp14:editId="43AE6516">
            <wp:simplePos x="0" y="0"/>
            <wp:positionH relativeFrom="page">
              <wp:posOffset>6265545</wp:posOffset>
            </wp:positionH>
            <wp:positionV relativeFrom="paragraph">
              <wp:posOffset>-102235</wp:posOffset>
            </wp:positionV>
            <wp:extent cx="869950" cy="363687"/>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50" cy="363687"/>
                    </a:xfrm>
                    <a:prstGeom prst="rect">
                      <a:avLst/>
                    </a:prstGeom>
                  </pic:spPr>
                </pic:pic>
              </a:graphicData>
            </a:graphic>
            <wp14:sizeRelH relativeFrom="margin">
              <wp14:pctWidth>0</wp14:pctWidth>
            </wp14:sizeRelH>
            <wp14:sizeRelV relativeFrom="margin">
              <wp14:pctHeight>0</wp14:pctHeight>
            </wp14:sizeRelV>
          </wp:anchor>
        </w:drawing>
      </w:r>
    </w:p>
    <w:p w14:paraId="06688F0B" w14:textId="42F661B4" w:rsidR="00B624CF" w:rsidRDefault="00B624CF" w:rsidP="00CF52B3">
      <w:pPr>
        <w:rPr>
          <w:b/>
          <w:bCs/>
          <w:color w:val="000000" w:themeColor="text1"/>
          <w:sz w:val="22"/>
          <w:szCs w:val="22"/>
          <w:lang w:val="en-US"/>
        </w:rPr>
      </w:pPr>
    </w:p>
    <w:p w14:paraId="3D08CC5C" w14:textId="3676CB78" w:rsidR="00CF52B3" w:rsidRPr="00CF52B3" w:rsidRDefault="002E32DF" w:rsidP="00CF52B3">
      <w:pPr>
        <w:rPr>
          <w:b/>
          <w:bCs/>
          <w:color w:val="000000" w:themeColor="text1"/>
          <w:sz w:val="22"/>
          <w:szCs w:val="22"/>
          <w:lang w:val="en-US"/>
        </w:rPr>
      </w:pPr>
      <w:r>
        <w:rPr>
          <w:b/>
          <w:bCs/>
          <w:color w:val="000000" w:themeColor="text1"/>
          <w:sz w:val="22"/>
          <w:szCs w:val="22"/>
          <w:lang w:val="en-US"/>
        </w:rPr>
        <w:t>T</w:t>
      </w:r>
      <w:r w:rsidR="00CF52B3" w:rsidRPr="00CF52B3">
        <w:rPr>
          <w:b/>
          <w:bCs/>
          <w:color w:val="000000" w:themeColor="text1"/>
          <w:sz w:val="22"/>
          <w:szCs w:val="22"/>
          <w:lang w:val="en-US"/>
        </w:rPr>
        <w:t>erms of Reference (</w:t>
      </w:r>
      <w:proofErr w:type="spellStart"/>
      <w:r w:rsidR="00CF52B3" w:rsidRPr="00CF52B3">
        <w:rPr>
          <w:b/>
          <w:bCs/>
          <w:color w:val="000000" w:themeColor="text1"/>
          <w:sz w:val="22"/>
          <w:szCs w:val="22"/>
          <w:lang w:val="en-US"/>
        </w:rPr>
        <w:t>ToR</w:t>
      </w:r>
      <w:proofErr w:type="spellEnd"/>
      <w:r w:rsidR="00CF52B3" w:rsidRPr="00CF52B3">
        <w:rPr>
          <w:b/>
          <w:bCs/>
          <w:color w:val="000000" w:themeColor="text1"/>
          <w:sz w:val="22"/>
          <w:szCs w:val="22"/>
          <w:lang w:val="en-US"/>
        </w:rPr>
        <w:t>)</w:t>
      </w:r>
    </w:p>
    <w:p w14:paraId="1594BBE4"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Provision of Training Services</w:t>
      </w:r>
    </w:p>
    <w:p w14:paraId="05F8E4D6"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1. Background</w:t>
      </w:r>
    </w:p>
    <w:p w14:paraId="386F9266" w14:textId="77777777" w:rsidR="00CF52B3" w:rsidRPr="00CF52B3" w:rsidRDefault="00CF52B3" w:rsidP="00CF52B3">
      <w:pPr>
        <w:rPr>
          <w:color w:val="000000" w:themeColor="text1"/>
          <w:sz w:val="22"/>
          <w:szCs w:val="22"/>
          <w:lang w:val="en-US"/>
        </w:rPr>
      </w:pPr>
      <w:r w:rsidRPr="00CF52B3">
        <w:rPr>
          <w:color w:val="000000" w:themeColor="text1"/>
          <w:sz w:val="22"/>
          <w:szCs w:val="22"/>
          <w:lang w:val="en-US"/>
        </w:rPr>
        <w:t>Arbeiter-</w:t>
      </w:r>
      <w:proofErr w:type="spellStart"/>
      <w:r w:rsidRPr="00CF52B3">
        <w:rPr>
          <w:color w:val="000000" w:themeColor="text1"/>
          <w:sz w:val="22"/>
          <w:szCs w:val="22"/>
          <w:lang w:val="en-US"/>
        </w:rPr>
        <w:t>Samariter</w:t>
      </w:r>
      <w:proofErr w:type="spellEnd"/>
      <w:r w:rsidRPr="00CF52B3">
        <w:rPr>
          <w:color w:val="000000" w:themeColor="text1"/>
          <w:sz w:val="22"/>
          <w:szCs w:val="22"/>
          <w:lang w:val="en-US"/>
        </w:rPr>
        <w:t>-Bund (ASB) is one of the largest and oldest German aid and welfare organizations, with more than one million members. Currently, ASB operates 11 foreign offices and implements programs in more than 20 countries worldwide.</w:t>
      </w:r>
    </w:p>
    <w:p w14:paraId="2B5036C9" w14:textId="77777777" w:rsidR="00CF52B3" w:rsidRPr="00CF52B3" w:rsidRDefault="00CF52B3" w:rsidP="00CF52B3">
      <w:pPr>
        <w:rPr>
          <w:color w:val="000000" w:themeColor="text1"/>
          <w:sz w:val="22"/>
          <w:szCs w:val="22"/>
          <w:lang w:val="en-US"/>
        </w:rPr>
      </w:pPr>
      <w:r w:rsidRPr="00CF52B3">
        <w:rPr>
          <w:color w:val="000000" w:themeColor="text1"/>
          <w:sz w:val="22"/>
          <w:szCs w:val="22"/>
          <w:lang w:val="en-US"/>
        </w:rPr>
        <w:t>Through its officially registered country office in Armenia, ASB has implemented several EU- and German Government-funded projects in the areas of inclusive disaster risk reduction, provision of social services, improvement of economic and livelihood conditions, resocialization of persons in conflict with the law, confidence building, as well as humanitarian assistance to refugees, conflict-affected populations, and other vulnerable groups.</w:t>
      </w:r>
    </w:p>
    <w:p w14:paraId="3F528DCB" w14:textId="77777777" w:rsidR="00CF52B3" w:rsidRPr="00CF52B3" w:rsidRDefault="00CF52B3" w:rsidP="00CF52B3">
      <w:pPr>
        <w:rPr>
          <w:color w:val="000000" w:themeColor="text1"/>
          <w:sz w:val="22"/>
          <w:szCs w:val="22"/>
          <w:lang w:val="en-US"/>
        </w:rPr>
      </w:pPr>
      <w:r w:rsidRPr="00CF52B3">
        <w:rPr>
          <w:color w:val="000000" w:themeColor="text1"/>
          <w:sz w:val="22"/>
          <w:szCs w:val="22"/>
          <w:lang w:val="en-US"/>
        </w:rPr>
        <w:t>ASB Armenia hereby announces a tender for the selection of a qualified company or individual consultant to deliver the training services outlined in this Terms of Reference.</w:t>
      </w:r>
    </w:p>
    <w:p w14:paraId="5D16773E"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50CE9A39">
          <v:rect id="_x0000_i1025" style="width:0;height:1.5pt" o:hralign="center" o:hrstd="t" o:hr="t" fillcolor="#a0a0a0" stroked="f"/>
        </w:pict>
      </w:r>
    </w:p>
    <w:p w14:paraId="41E95ED7"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2. Project Information</w:t>
      </w:r>
    </w:p>
    <w:p w14:paraId="30E8255D" w14:textId="68071386"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 xml:space="preserve">Project Title: </w:t>
      </w:r>
      <w:r w:rsidR="00A94D3C" w:rsidRPr="00A94D3C">
        <w:rPr>
          <w:rFonts w:cstheme="minorHAnsi"/>
          <w:bCs/>
          <w:lang w:val="en-US"/>
        </w:rPr>
        <w:t>Empowerment of refugees and host communities. Improving employability and active support for sustainable integration (ELSI)</w:t>
      </w:r>
      <w:r w:rsidRPr="00A94D3C">
        <w:rPr>
          <w:b/>
          <w:bCs/>
          <w:color w:val="000000" w:themeColor="text1"/>
          <w:sz w:val="22"/>
          <w:szCs w:val="22"/>
          <w:lang w:val="en-US"/>
        </w:rPr>
        <w:br/>
      </w:r>
      <w:r w:rsidRPr="00CF52B3">
        <w:rPr>
          <w:b/>
          <w:bCs/>
          <w:color w:val="000000" w:themeColor="text1"/>
          <w:sz w:val="22"/>
          <w:szCs w:val="22"/>
          <w:lang w:val="en-US"/>
        </w:rPr>
        <w:t xml:space="preserve">Donor: </w:t>
      </w:r>
      <w:r w:rsidR="00701F01" w:rsidRPr="00A94D3C">
        <w:rPr>
          <w:color w:val="000000" w:themeColor="text1"/>
          <w:sz w:val="22"/>
          <w:szCs w:val="22"/>
          <w:lang w:val="en-US"/>
        </w:rPr>
        <w:t xml:space="preserve">BMZ in cooperation </w:t>
      </w:r>
      <w:r w:rsidR="0081755A" w:rsidRPr="00A94D3C">
        <w:rPr>
          <w:color w:val="000000" w:themeColor="text1"/>
          <w:sz w:val="22"/>
          <w:szCs w:val="22"/>
          <w:lang w:val="en-US"/>
        </w:rPr>
        <w:t xml:space="preserve">with </w:t>
      </w:r>
      <w:r w:rsidRPr="00A94D3C">
        <w:rPr>
          <w:color w:val="000000" w:themeColor="text1"/>
          <w:sz w:val="22"/>
          <w:szCs w:val="22"/>
          <w:lang w:val="en-US"/>
        </w:rPr>
        <w:t xml:space="preserve">ASB </w:t>
      </w:r>
      <w:r w:rsidR="00921F7A" w:rsidRPr="00A94D3C">
        <w:rPr>
          <w:color w:val="000000" w:themeColor="text1"/>
          <w:sz w:val="22"/>
          <w:szCs w:val="22"/>
          <w:lang w:val="en-US"/>
        </w:rPr>
        <w:t>Armenia</w:t>
      </w:r>
      <w:r w:rsidRPr="00CF52B3">
        <w:rPr>
          <w:b/>
          <w:bCs/>
          <w:color w:val="000000" w:themeColor="text1"/>
          <w:sz w:val="22"/>
          <w:szCs w:val="22"/>
          <w:lang w:val="en-US"/>
        </w:rPr>
        <w:br/>
        <w:t xml:space="preserve">Project Period: </w:t>
      </w:r>
      <w:r w:rsidRPr="00A94D3C">
        <w:rPr>
          <w:color w:val="000000" w:themeColor="text1"/>
          <w:sz w:val="22"/>
          <w:szCs w:val="22"/>
          <w:lang w:val="en-US"/>
        </w:rPr>
        <w:t>[</w:t>
      </w:r>
      <w:r w:rsidR="002F7B5E" w:rsidRPr="00A94D3C">
        <w:rPr>
          <w:color w:val="000000" w:themeColor="text1"/>
          <w:sz w:val="22"/>
          <w:szCs w:val="22"/>
          <w:lang w:val="en-US"/>
        </w:rPr>
        <w:t>March</w:t>
      </w:r>
      <w:r w:rsidR="00660BFF" w:rsidRPr="00A94D3C">
        <w:rPr>
          <w:color w:val="000000" w:themeColor="text1"/>
          <w:sz w:val="22"/>
          <w:szCs w:val="22"/>
          <w:lang w:val="en-US"/>
        </w:rPr>
        <w:t>-April</w:t>
      </w:r>
      <w:r w:rsidRPr="00A94D3C">
        <w:rPr>
          <w:color w:val="000000" w:themeColor="text1"/>
          <w:sz w:val="22"/>
          <w:szCs w:val="22"/>
          <w:lang w:val="en-US"/>
        </w:rPr>
        <w:t>]</w:t>
      </w:r>
    </w:p>
    <w:p w14:paraId="54EE30A8"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20FF672F">
          <v:rect id="_x0000_i1026" style="width:0;height:1.5pt" o:hralign="center" o:hrstd="t" o:hr="t" fillcolor="#a0a0a0" stroked="f"/>
        </w:pict>
      </w:r>
    </w:p>
    <w:p w14:paraId="50CD8EFF"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3. Objective of the Assignment</w:t>
      </w:r>
    </w:p>
    <w:p w14:paraId="78F3B10A"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The objective of this assignment is to strengthen the capacities of ASB partner organizations through targeted training sessions on:</w:t>
      </w:r>
    </w:p>
    <w:p w14:paraId="37DBB5C2" w14:textId="77777777" w:rsidR="00CF52B3" w:rsidRPr="00CF52B3" w:rsidRDefault="00CF52B3" w:rsidP="00CF52B3">
      <w:pPr>
        <w:numPr>
          <w:ilvl w:val="0"/>
          <w:numId w:val="4"/>
        </w:numPr>
        <w:rPr>
          <w:color w:val="000000" w:themeColor="text1"/>
          <w:sz w:val="22"/>
          <w:szCs w:val="22"/>
          <w:lang w:val="en-US"/>
        </w:rPr>
      </w:pPr>
      <w:r w:rsidRPr="00CF52B3">
        <w:rPr>
          <w:color w:val="000000" w:themeColor="text1"/>
          <w:sz w:val="22"/>
          <w:szCs w:val="22"/>
          <w:lang w:val="en-US"/>
        </w:rPr>
        <w:t>SPHERE Standards</w:t>
      </w:r>
    </w:p>
    <w:p w14:paraId="78575738" w14:textId="056ADB31" w:rsidR="00CF52B3" w:rsidRPr="00CF52B3" w:rsidRDefault="00CF52B3" w:rsidP="00CF52B3">
      <w:pPr>
        <w:numPr>
          <w:ilvl w:val="0"/>
          <w:numId w:val="4"/>
        </w:numPr>
        <w:rPr>
          <w:color w:val="000000" w:themeColor="text1"/>
          <w:sz w:val="22"/>
          <w:szCs w:val="22"/>
          <w:lang w:val="en-US"/>
        </w:rPr>
      </w:pPr>
      <w:r w:rsidRPr="00CF52B3">
        <w:rPr>
          <w:color w:val="000000" w:themeColor="text1"/>
          <w:sz w:val="22"/>
          <w:szCs w:val="22"/>
          <w:lang w:val="en-US"/>
        </w:rPr>
        <w:t>PSEAH (Prevention of Sexual Exploitation, Abuse and Harassment)</w:t>
      </w:r>
      <w:r w:rsidR="00D37D85">
        <w:rPr>
          <w:color w:val="000000" w:themeColor="text1"/>
          <w:sz w:val="22"/>
          <w:szCs w:val="22"/>
          <w:lang w:val="en-US"/>
        </w:rPr>
        <w:t xml:space="preserve"> </w:t>
      </w:r>
      <w:r w:rsidR="00050F86">
        <w:rPr>
          <w:color w:val="000000" w:themeColor="text1"/>
          <w:sz w:val="22"/>
          <w:szCs w:val="22"/>
          <w:lang w:val="en-US"/>
        </w:rPr>
        <w:t xml:space="preserve">&amp; </w:t>
      </w:r>
      <w:r w:rsidR="00D37D85">
        <w:rPr>
          <w:color w:val="000000" w:themeColor="text1"/>
          <w:sz w:val="22"/>
          <w:szCs w:val="22"/>
          <w:lang w:val="en-US"/>
        </w:rPr>
        <w:t xml:space="preserve">Code of Conduct </w:t>
      </w:r>
    </w:p>
    <w:p w14:paraId="49B9ECF7"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01262DD3">
          <v:rect id="_x0000_i1027" style="width:0;height:1.5pt" o:hralign="center" o:hrstd="t" o:hr="t" fillcolor="#a0a0a0" stroked="f"/>
        </w:pict>
      </w:r>
    </w:p>
    <w:p w14:paraId="7CC48FAD" w14:textId="42005A48"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 xml:space="preserve">4. </w:t>
      </w:r>
      <w:r w:rsidR="00E2009F" w:rsidRPr="00CF52B3">
        <w:rPr>
          <w:b/>
          <w:bCs/>
          <w:color w:val="000000" w:themeColor="text1"/>
          <w:sz w:val="22"/>
          <w:szCs w:val="22"/>
          <w:lang w:val="en-US"/>
        </w:rPr>
        <w:t>Details Scope of Work and Training</w:t>
      </w:r>
    </w:p>
    <w:p w14:paraId="1BC8D8C9" w14:textId="0CFDF254" w:rsidR="00CF52B3" w:rsidRPr="00CF52B3" w:rsidRDefault="00CF52B3" w:rsidP="00CF52B3">
      <w:pPr>
        <w:numPr>
          <w:ilvl w:val="0"/>
          <w:numId w:val="5"/>
        </w:numPr>
        <w:rPr>
          <w:color w:val="000000" w:themeColor="text1"/>
          <w:sz w:val="22"/>
          <w:szCs w:val="22"/>
          <w:lang w:val="en-US"/>
        </w:rPr>
      </w:pPr>
      <w:proofErr w:type="gramStart"/>
      <w:r w:rsidRPr="00CF52B3">
        <w:rPr>
          <w:color w:val="000000" w:themeColor="text1"/>
          <w:sz w:val="22"/>
          <w:szCs w:val="22"/>
          <w:lang w:val="en-US"/>
        </w:rPr>
        <w:t>Trainings</w:t>
      </w:r>
      <w:proofErr w:type="gramEnd"/>
      <w:r w:rsidRPr="00CF52B3">
        <w:rPr>
          <w:color w:val="000000" w:themeColor="text1"/>
          <w:sz w:val="22"/>
          <w:szCs w:val="22"/>
          <w:lang w:val="en-US"/>
        </w:rPr>
        <w:t xml:space="preserve"> will be conducted under the supervision of ASB for partner organizations.</w:t>
      </w:r>
    </w:p>
    <w:p w14:paraId="03315118" w14:textId="77777777" w:rsidR="00CF52B3" w:rsidRPr="00CF52B3" w:rsidRDefault="00CF52B3" w:rsidP="00CF52B3">
      <w:pPr>
        <w:numPr>
          <w:ilvl w:val="0"/>
          <w:numId w:val="5"/>
        </w:numPr>
        <w:rPr>
          <w:color w:val="000000" w:themeColor="text1"/>
          <w:sz w:val="22"/>
          <w:szCs w:val="22"/>
          <w:lang w:val="en-US"/>
        </w:rPr>
      </w:pPr>
      <w:r w:rsidRPr="00CF52B3">
        <w:rPr>
          <w:color w:val="000000" w:themeColor="text1"/>
          <w:sz w:val="22"/>
          <w:szCs w:val="22"/>
          <w:lang w:val="en-US"/>
        </w:rPr>
        <w:t>The selected company or individual shall develop and deliver comprehensive training materials, including structured presentations with clear conceptual explanations and relevant technical content.</w:t>
      </w:r>
    </w:p>
    <w:p w14:paraId="1600B06E" w14:textId="77777777" w:rsidR="00CF52B3" w:rsidRPr="00CF52B3" w:rsidRDefault="00CF52B3" w:rsidP="00CF52B3">
      <w:pPr>
        <w:numPr>
          <w:ilvl w:val="0"/>
          <w:numId w:val="5"/>
        </w:numPr>
        <w:rPr>
          <w:color w:val="000000" w:themeColor="text1"/>
          <w:sz w:val="22"/>
          <w:szCs w:val="22"/>
          <w:lang w:val="en-US"/>
        </w:rPr>
      </w:pPr>
      <w:r w:rsidRPr="00CF52B3">
        <w:rPr>
          <w:color w:val="000000" w:themeColor="text1"/>
          <w:sz w:val="22"/>
          <w:szCs w:val="22"/>
          <w:lang w:val="en-US"/>
        </w:rPr>
        <w:t>Each training session will last several hours and will include a dedicated Question &amp; Answer session.</w:t>
      </w:r>
    </w:p>
    <w:p w14:paraId="337D33F8" w14:textId="77777777" w:rsidR="00CF52B3" w:rsidRPr="00CF52B3" w:rsidRDefault="00CF52B3" w:rsidP="00CF52B3">
      <w:pPr>
        <w:numPr>
          <w:ilvl w:val="0"/>
          <w:numId w:val="5"/>
        </w:numPr>
        <w:rPr>
          <w:color w:val="000000" w:themeColor="text1"/>
          <w:sz w:val="22"/>
          <w:szCs w:val="22"/>
          <w:lang w:val="en-US"/>
        </w:rPr>
      </w:pPr>
      <w:r w:rsidRPr="00CF52B3">
        <w:rPr>
          <w:color w:val="000000" w:themeColor="text1"/>
          <w:sz w:val="22"/>
          <w:szCs w:val="22"/>
          <w:lang w:val="en-US"/>
        </w:rPr>
        <w:t xml:space="preserve">A total of six (6) training sessions </w:t>
      </w:r>
      <w:proofErr w:type="gramStart"/>
      <w:r w:rsidRPr="00CF52B3">
        <w:rPr>
          <w:color w:val="000000" w:themeColor="text1"/>
          <w:sz w:val="22"/>
          <w:szCs w:val="22"/>
          <w:lang w:val="en-US"/>
        </w:rPr>
        <w:t>are</w:t>
      </w:r>
      <w:proofErr w:type="gramEnd"/>
      <w:r w:rsidRPr="00CF52B3">
        <w:rPr>
          <w:color w:val="000000" w:themeColor="text1"/>
          <w:sz w:val="22"/>
          <w:szCs w:val="22"/>
          <w:lang w:val="en-US"/>
        </w:rPr>
        <w:t xml:space="preserve"> planned during the project period for different groups of participants. The schedule and composition of the groups will be agreed upon in advance.</w:t>
      </w:r>
    </w:p>
    <w:p w14:paraId="17F22834" w14:textId="7B7A1814" w:rsidR="00396B2C" w:rsidRPr="00396B2C" w:rsidRDefault="00396B2C" w:rsidP="00396B2C">
      <w:pPr>
        <w:pStyle w:val="NormalWeb"/>
        <w:numPr>
          <w:ilvl w:val="0"/>
          <w:numId w:val="5"/>
        </w:numPr>
        <w:rPr>
          <w:sz w:val="22"/>
          <w:szCs w:val="22"/>
        </w:rPr>
      </w:pPr>
      <w:r w:rsidRPr="00396B2C">
        <w:rPr>
          <w:sz w:val="22"/>
          <w:szCs w:val="22"/>
        </w:rPr>
        <w:t xml:space="preserve">• While most target groups will receive the full training package, some groups will require a focused approach. In this regard, </w:t>
      </w:r>
      <w:r w:rsidRPr="00396B2C">
        <w:rPr>
          <w:rStyle w:val="Strong"/>
          <w:rFonts w:eastAsiaTheme="majorEastAsia"/>
          <w:sz w:val="22"/>
          <w:szCs w:val="22"/>
        </w:rPr>
        <w:t xml:space="preserve">two (2) </w:t>
      </w:r>
      <w:proofErr w:type="gramStart"/>
      <w:r w:rsidRPr="00396B2C">
        <w:rPr>
          <w:rStyle w:val="Strong"/>
          <w:rFonts w:eastAsiaTheme="majorEastAsia"/>
          <w:sz w:val="22"/>
          <w:szCs w:val="22"/>
        </w:rPr>
        <w:t>trainings</w:t>
      </w:r>
      <w:proofErr w:type="gramEnd"/>
      <w:r w:rsidRPr="00396B2C">
        <w:rPr>
          <w:sz w:val="22"/>
          <w:szCs w:val="22"/>
        </w:rPr>
        <w:t xml:space="preserve"> will cover </w:t>
      </w:r>
      <w:r w:rsidRPr="00396B2C">
        <w:rPr>
          <w:rStyle w:val="Strong"/>
          <w:rFonts w:eastAsiaTheme="majorEastAsia"/>
          <w:sz w:val="22"/>
          <w:szCs w:val="22"/>
        </w:rPr>
        <w:t>SPHERE Standards and PSEAH (Prevention of Sexual Exploitation, Abuse and Harassment) &amp; Code of Conduct</w:t>
      </w:r>
      <w:r w:rsidRPr="00396B2C">
        <w:rPr>
          <w:sz w:val="22"/>
          <w:szCs w:val="22"/>
        </w:rPr>
        <w:t xml:space="preserve">, while </w:t>
      </w:r>
      <w:r w:rsidRPr="00396B2C">
        <w:rPr>
          <w:rStyle w:val="Strong"/>
          <w:rFonts w:eastAsiaTheme="majorEastAsia"/>
          <w:sz w:val="22"/>
          <w:szCs w:val="22"/>
        </w:rPr>
        <w:t xml:space="preserve">four (4) </w:t>
      </w:r>
      <w:proofErr w:type="gramStart"/>
      <w:r w:rsidRPr="00396B2C">
        <w:rPr>
          <w:rStyle w:val="Strong"/>
          <w:rFonts w:eastAsiaTheme="majorEastAsia"/>
          <w:sz w:val="22"/>
          <w:szCs w:val="22"/>
        </w:rPr>
        <w:t>trainings</w:t>
      </w:r>
      <w:proofErr w:type="gramEnd"/>
      <w:r w:rsidRPr="00396B2C">
        <w:rPr>
          <w:sz w:val="22"/>
          <w:szCs w:val="22"/>
        </w:rPr>
        <w:t xml:space="preserve"> will focus exclusively on </w:t>
      </w:r>
      <w:r w:rsidRPr="00396B2C">
        <w:rPr>
          <w:rStyle w:val="Strong"/>
          <w:rFonts w:eastAsiaTheme="majorEastAsia"/>
          <w:sz w:val="22"/>
          <w:szCs w:val="22"/>
        </w:rPr>
        <w:t>PSEAH &amp; Code of Conduct</w:t>
      </w:r>
      <w:r w:rsidRPr="00396B2C">
        <w:rPr>
          <w:sz w:val="22"/>
          <w:szCs w:val="22"/>
        </w:rPr>
        <w:t>.</w:t>
      </w:r>
    </w:p>
    <w:p w14:paraId="3FFCFEE0" w14:textId="0F8302EB" w:rsidR="00396B2C" w:rsidRPr="00396B2C" w:rsidRDefault="00396B2C" w:rsidP="00396B2C">
      <w:pPr>
        <w:pStyle w:val="NormalWeb"/>
        <w:numPr>
          <w:ilvl w:val="0"/>
          <w:numId w:val="5"/>
        </w:numPr>
        <w:rPr>
          <w:sz w:val="22"/>
          <w:szCs w:val="22"/>
        </w:rPr>
      </w:pPr>
      <w:r w:rsidRPr="00396B2C">
        <w:rPr>
          <w:sz w:val="22"/>
          <w:szCs w:val="22"/>
        </w:rPr>
        <w:t xml:space="preserve">• All trainings will be delivered </w:t>
      </w:r>
      <w:r w:rsidRPr="00396B2C">
        <w:rPr>
          <w:rStyle w:val="Strong"/>
          <w:rFonts w:eastAsiaTheme="majorEastAsia"/>
          <w:sz w:val="22"/>
          <w:szCs w:val="22"/>
        </w:rPr>
        <w:t>in Armenian</w:t>
      </w:r>
      <w:r w:rsidR="00BC45E4">
        <w:rPr>
          <w:rStyle w:val="Strong"/>
          <w:rFonts w:eastAsiaTheme="majorEastAsia"/>
          <w:sz w:val="22"/>
          <w:szCs w:val="22"/>
        </w:rPr>
        <w:t>.</w:t>
      </w:r>
    </w:p>
    <w:p w14:paraId="70123E0B" w14:textId="77777777" w:rsidR="00E2304E" w:rsidRPr="00893A06" w:rsidRDefault="00E2304E" w:rsidP="00E2304E">
      <w:pPr>
        <w:ind w:left="720"/>
        <w:rPr>
          <w:color w:val="000000" w:themeColor="text1"/>
          <w:sz w:val="22"/>
          <w:szCs w:val="22"/>
          <w:lang w:val="en-US"/>
        </w:rPr>
      </w:pPr>
    </w:p>
    <w:p w14:paraId="52A7BA26"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30B8B086">
          <v:rect id="_x0000_i1028" style="width:0;height:1.5pt" o:hralign="center" o:hrstd="t" o:hr="t" fillcolor="#a0a0a0" stroked="f"/>
        </w:pict>
      </w:r>
    </w:p>
    <w:p w14:paraId="079D2CC8"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lastRenderedPageBreak/>
        <w:t>5. Required Qualifications and Experience</w:t>
      </w:r>
    </w:p>
    <w:p w14:paraId="33CBBA7E" w14:textId="77777777" w:rsidR="00CF52B3" w:rsidRPr="00CF52B3" w:rsidRDefault="00CF52B3" w:rsidP="00CF52B3">
      <w:pPr>
        <w:rPr>
          <w:color w:val="000000" w:themeColor="text1"/>
          <w:sz w:val="22"/>
          <w:szCs w:val="22"/>
          <w:lang w:val="en-US"/>
        </w:rPr>
      </w:pPr>
      <w:r w:rsidRPr="00CF52B3">
        <w:rPr>
          <w:color w:val="000000" w:themeColor="text1"/>
          <w:sz w:val="22"/>
          <w:szCs w:val="22"/>
          <w:lang w:val="en-US"/>
        </w:rPr>
        <w:t>The selected company or individual should meet the following criteria:</w:t>
      </w:r>
    </w:p>
    <w:p w14:paraId="29BE3257" w14:textId="77777777" w:rsidR="00CF52B3" w:rsidRPr="00CF52B3" w:rsidRDefault="00CF52B3" w:rsidP="00CF52B3">
      <w:pPr>
        <w:numPr>
          <w:ilvl w:val="0"/>
          <w:numId w:val="6"/>
        </w:numPr>
        <w:rPr>
          <w:color w:val="000000" w:themeColor="text1"/>
          <w:sz w:val="22"/>
          <w:szCs w:val="22"/>
          <w:lang w:val="en-US"/>
        </w:rPr>
      </w:pPr>
      <w:r w:rsidRPr="00CF52B3">
        <w:rPr>
          <w:color w:val="000000" w:themeColor="text1"/>
          <w:sz w:val="22"/>
          <w:szCs w:val="22"/>
          <w:lang w:val="en-US"/>
        </w:rPr>
        <w:t>Master’s degree or equivalent in healthcare, civil protection, crisis management, humanitarian studies, or another relevant field.</w:t>
      </w:r>
    </w:p>
    <w:p w14:paraId="009E00C9" w14:textId="77777777" w:rsidR="00CF52B3" w:rsidRPr="00CF52B3" w:rsidRDefault="00CF52B3" w:rsidP="00CF52B3">
      <w:pPr>
        <w:numPr>
          <w:ilvl w:val="0"/>
          <w:numId w:val="6"/>
        </w:numPr>
        <w:rPr>
          <w:color w:val="000000" w:themeColor="text1"/>
          <w:sz w:val="22"/>
          <w:szCs w:val="22"/>
          <w:lang w:val="en-US"/>
        </w:rPr>
      </w:pPr>
      <w:r w:rsidRPr="00CF52B3">
        <w:rPr>
          <w:color w:val="000000" w:themeColor="text1"/>
          <w:sz w:val="22"/>
          <w:szCs w:val="22"/>
          <w:lang w:val="en-US"/>
        </w:rPr>
        <w:t>Minimum 5 years of relevant professional experience in facilitation and delivery of practical simulations and exercises, particularly in healthcare, emergency response, and crisis management contexts.</w:t>
      </w:r>
    </w:p>
    <w:p w14:paraId="4890D5F1" w14:textId="0F9BF900" w:rsidR="00CF52B3" w:rsidRPr="00CF52B3" w:rsidRDefault="00CF52B3" w:rsidP="00CF52B3">
      <w:pPr>
        <w:numPr>
          <w:ilvl w:val="0"/>
          <w:numId w:val="6"/>
        </w:numPr>
        <w:rPr>
          <w:color w:val="000000" w:themeColor="text1"/>
          <w:sz w:val="22"/>
          <w:szCs w:val="22"/>
          <w:lang w:val="en-US"/>
        </w:rPr>
      </w:pPr>
      <w:r w:rsidRPr="00CF52B3">
        <w:rPr>
          <w:color w:val="000000" w:themeColor="text1"/>
          <w:sz w:val="22"/>
          <w:szCs w:val="22"/>
          <w:lang w:val="en-US"/>
        </w:rPr>
        <w:t>Proven experience in conducting similar trainings (SPHERE</w:t>
      </w:r>
      <w:r w:rsidR="00137CAE">
        <w:rPr>
          <w:color w:val="000000" w:themeColor="text1"/>
          <w:sz w:val="22"/>
          <w:szCs w:val="22"/>
          <w:lang w:val="en-US"/>
        </w:rPr>
        <w:t xml:space="preserve"> </w:t>
      </w:r>
      <w:proofErr w:type="spellStart"/>
      <w:r w:rsidR="00137CAE">
        <w:rPr>
          <w:color w:val="000000" w:themeColor="text1"/>
          <w:sz w:val="22"/>
          <w:szCs w:val="22"/>
          <w:lang w:val="en-US"/>
        </w:rPr>
        <w:t>Standarts</w:t>
      </w:r>
      <w:proofErr w:type="spellEnd"/>
      <w:r w:rsidRPr="00CF52B3">
        <w:rPr>
          <w:color w:val="000000" w:themeColor="text1"/>
          <w:sz w:val="22"/>
          <w:szCs w:val="22"/>
          <w:lang w:val="en-US"/>
        </w:rPr>
        <w:t>, PSEAH).</w:t>
      </w:r>
    </w:p>
    <w:p w14:paraId="776C5DDC" w14:textId="77777777" w:rsidR="00CF52B3" w:rsidRPr="00CF52B3" w:rsidRDefault="00CF52B3" w:rsidP="00CF52B3">
      <w:pPr>
        <w:numPr>
          <w:ilvl w:val="0"/>
          <w:numId w:val="6"/>
        </w:numPr>
        <w:rPr>
          <w:color w:val="000000" w:themeColor="text1"/>
          <w:sz w:val="22"/>
          <w:szCs w:val="22"/>
          <w:lang w:val="en-US"/>
        </w:rPr>
      </w:pPr>
      <w:r w:rsidRPr="00CF52B3">
        <w:rPr>
          <w:color w:val="000000" w:themeColor="text1"/>
          <w:sz w:val="22"/>
          <w:szCs w:val="22"/>
          <w:lang w:val="en-US"/>
        </w:rPr>
        <w:t>Strong analytical and leadership skills.</w:t>
      </w:r>
    </w:p>
    <w:p w14:paraId="1359A807" w14:textId="77777777" w:rsidR="00CF52B3" w:rsidRPr="00CF52B3" w:rsidRDefault="00CF52B3" w:rsidP="00CF52B3">
      <w:pPr>
        <w:numPr>
          <w:ilvl w:val="0"/>
          <w:numId w:val="6"/>
        </w:numPr>
        <w:rPr>
          <w:color w:val="000000" w:themeColor="text1"/>
          <w:sz w:val="22"/>
          <w:szCs w:val="22"/>
          <w:lang w:val="en-US"/>
        </w:rPr>
      </w:pPr>
      <w:r w:rsidRPr="00CF52B3">
        <w:rPr>
          <w:color w:val="000000" w:themeColor="text1"/>
          <w:sz w:val="22"/>
          <w:szCs w:val="22"/>
          <w:lang w:val="en-US"/>
        </w:rPr>
        <w:t>Ability to work independently and as part of a team.</w:t>
      </w:r>
    </w:p>
    <w:p w14:paraId="718FC59E" w14:textId="5B26194F" w:rsidR="00CF52B3" w:rsidRPr="00CF52B3" w:rsidRDefault="00CF52B3" w:rsidP="00CF52B3">
      <w:pPr>
        <w:numPr>
          <w:ilvl w:val="0"/>
          <w:numId w:val="6"/>
        </w:numPr>
        <w:rPr>
          <w:color w:val="000000" w:themeColor="text1"/>
          <w:sz w:val="22"/>
          <w:szCs w:val="22"/>
          <w:lang w:val="en-US"/>
        </w:rPr>
      </w:pPr>
      <w:r w:rsidRPr="00137CAE">
        <w:rPr>
          <w:b/>
          <w:bCs/>
          <w:color w:val="000000" w:themeColor="text1"/>
          <w:sz w:val="22"/>
          <w:szCs w:val="22"/>
          <w:lang w:val="en-US"/>
        </w:rPr>
        <w:t>Availability and willingness to travel within Armenia, if required</w:t>
      </w:r>
      <w:r w:rsidR="009A623A">
        <w:rPr>
          <w:b/>
          <w:bCs/>
          <w:color w:val="000000" w:themeColor="text1"/>
          <w:sz w:val="22"/>
          <w:szCs w:val="22"/>
          <w:lang w:val="en-US"/>
        </w:rPr>
        <w:t xml:space="preserve"> (Transportation and accommodation will be covered by ASB)</w:t>
      </w:r>
      <w:r w:rsidRPr="00CF52B3">
        <w:rPr>
          <w:color w:val="000000" w:themeColor="text1"/>
          <w:sz w:val="22"/>
          <w:szCs w:val="22"/>
          <w:lang w:val="en-US"/>
        </w:rPr>
        <w:t>.</w:t>
      </w:r>
    </w:p>
    <w:p w14:paraId="339D3DA1"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3858D95A">
          <v:rect id="_x0000_i1029" style="width:0;height:1.5pt" o:hralign="center" o:hrstd="t" o:hr="t" fillcolor="#a0a0a0" stroked="f"/>
        </w:pict>
      </w:r>
    </w:p>
    <w:p w14:paraId="32520D73"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6. Application Process</w:t>
      </w:r>
    </w:p>
    <w:p w14:paraId="10DAC4F4"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Interested companies or individuals are invited to submit an offer including:</w:t>
      </w:r>
    </w:p>
    <w:p w14:paraId="33C285C1" w14:textId="77777777" w:rsidR="00CF52B3" w:rsidRPr="00CF52B3" w:rsidRDefault="00CF52B3" w:rsidP="00CF52B3">
      <w:pPr>
        <w:numPr>
          <w:ilvl w:val="0"/>
          <w:numId w:val="7"/>
        </w:numPr>
        <w:rPr>
          <w:color w:val="000000" w:themeColor="text1"/>
          <w:sz w:val="22"/>
          <w:szCs w:val="22"/>
          <w:lang w:val="en-US"/>
        </w:rPr>
      </w:pPr>
      <w:r w:rsidRPr="00CF52B3">
        <w:rPr>
          <w:color w:val="000000" w:themeColor="text1"/>
          <w:sz w:val="22"/>
          <w:szCs w:val="22"/>
          <w:lang w:val="en-US"/>
        </w:rPr>
        <w:t>Company profile or individual CV</w:t>
      </w:r>
    </w:p>
    <w:p w14:paraId="48921108" w14:textId="58B8105C" w:rsidR="00CF52B3" w:rsidRPr="00CF52B3" w:rsidRDefault="00CF52B3" w:rsidP="00CF52B3">
      <w:pPr>
        <w:numPr>
          <w:ilvl w:val="0"/>
          <w:numId w:val="7"/>
        </w:numPr>
        <w:rPr>
          <w:color w:val="000000" w:themeColor="text1"/>
          <w:sz w:val="22"/>
          <w:szCs w:val="22"/>
          <w:lang w:val="en-US"/>
        </w:rPr>
      </w:pPr>
      <w:r w:rsidRPr="00CF52B3">
        <w:rPr>
          <w:color w:val="000000" w:themeColor="text1"/>
          <w:sz w:val="22"/>
          <w:szCs w:val="22"/>
          <w:lang w:val="en-US"/>
        </w:rPr>
        <w:t xml:space="preserve">Evidence of relevant experience (list of conducted </w:t>
      </w:r>
      <w:r w:rsidR="004F28D8" w:rsidRPr="00CF52B3">
        <w:rPr>
          <w:color w:val="000000" w:themeColor="text1"/>
          <w:sz w:val="22"/>
          <w:szCs w:val="22"/>
          <w:lang w:val="en-US"/>
        </w:rPr>
        <w:t>training courses</w:t>
      </w:r>
      <w:r w:rsidRPr="00CF52B3">
        <w:rPr>
          <w:color w:val="000000" w:themeColor="text1"/>
          <w:sz w:val="22"/>
          <w:szCs w:val="22"/>
          <w:lang w:val="en-US"/>
        </w:rPr>
        <w:t xml:space="preserve"> and references, if available)</w:t>
      </w:r>
    </w:p>
    <w:p w14:paraId="26A44A88" w14:textId="77777777" w:rsidR="00CF52B3" w:rsidRPr="00CF52B3" w:rsidRDefault="00CF52B3" w:rsidP="00CF52B3">
      <w:pPr>
        <w:numPr>
          <w:ilvl w:val="0"/>
          <w:numId w:val="7"/>
        </w:numPr>
        <w:rPr>
          <w:color w:val="000000" w:themeColor="text1"/>
          <w:sz w:val="22"/>
          <w:szCs w:val="22"/>
          <w:lang w:val="en-US"/>
        </w:rPr>
      </w:pPr>
      <w:r w:rsidRPr="00CF52B3">
        <w:rPr>
          <w:color w:val="000000" w:themeColor="text1"/>
          <w:sz w:val="22"/>
          <w:szCs w:val="22"/>
          <w:lang w:val="en-US"/>
        </w:rPr>
        <w:t>Financial offer (final price, including all applicable taxes and costs)</w:t>
      </w:r>
    </w:p>
    <w:p w14:paraId="07CC0918"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43971A6A">
          <v:rect id="_x0000_i1030" style="width:0;height:1.5pt" o:hralign="center" o:hrstd="t" o:hr="t" fillcolor="#a0a0a0" stroked="f"/>
        </w:pict>
      </w:r>
    </w:p>
    <w:p w14:paraId="39858E59"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7. Clarifications</w:t>
      </w:r>
    </w:p>
    <w:p w14:paraId="53B2C1C0"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During the tendering process, questions for clarification may be sent to:</w:t>
      </w:r>
    </w:p>
    <w:p w14:paraId="78ACDB84" w14:textId="055F07A4" w:rsidR="004D447E" w:rsidRDefault="004D447E" w:rsidP="00CF52B3">
      <w:hyperlink r:id="rId9" w:history="1">
        <w:r w:rsidRPr="006E1449">
          <w:rPr>
            <w:rStyle w:val="Hyperlink"/>
          </w:rPr>
          <w:t>d.kirakos@asb-armenia.org</w:t>
        </w:r>
      </w:hyperlink>
    </w:p>
    <w:p w14:paraId="0BBFBF4A" w14:textId="48606226"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 xml:space="preserve">Attn: </w:t>
      </w:r>
      <w:r w:rsidR="004D447E">
        <w:rPr>
          <w:color w:val="000000" w:themeColor="text1"/>
          <w:sz w:val="22"/>
          <w:szCs w:val="22"/>
          <w:lang w:val="en-US"/>
        </w:rPr>
        <w:t>Daniella Kirakos</w:t>
      </w:r>
    </w:p>
    <w:p w14:paraId="561A39DF" w14:textId="77777777" w:rsidR="00CF52B3" w:rsidRPr="00CF52B3" w:rsidRDefault="006E4204" w:rsidP="00CF52B3">
      <w:pPr>
        <w:rPr>
          <w:b/>
          <w:bCs/>
          <w:color w:val="000000" w:themeColor="text1"/>
          <w:sz w:val="22"/>
          <w:szCs w:val="22"/>
          <w:lang w:val="en-US"/>
        </w:rPr>
      </w:pPr>
      <w:r>
        <w:rPr>
          <w:b/>
          <w:bCs/>
          <w:color w:val="000000" w:themeColor="text1"/>
          <w:sz w:val="22"/>
          <w:szCs w:val="22"/>
          <w:lang w:val="en-US"/>
        </w:rPr>
        <w:pict w14:anchorId="16DD2608">
          <v:rect id="_x0000_i1031" style="width:0;height:1.5pt" o:hralign="center" o:hrstd="t" o:hr="t" fillcolor="#a0a0a0" stroked="f"/>
        </w:pict>
      </w:r>
    </w:p>
    <w:p w14:paraId="472AFE7F" w14:textId="77777777" w:rsidR="00CF52B3" w:rsidRPr="00CF52B3" w:rsidRDefault="00CF52B3" w:rsidP="00CF52B3">
      <w:pPr>
        <w:rPr>
          <w:b/>
          <w:bCs/>
          <w:color w:val="000000" w:themeColor="text1"/>
          <w:sz w:val="22"/>
          <w:szCs w:val="22"/>
          <w:lang w:val="en-US"/>
        </w:rPr>
      </w:pPr>
      <w:r w:rsidRPr="00CF52B3">
        <w:rPr>
          <w:b/>
          <w:bCs/>
          <w:color w:val="000000" w:themeColor="text1"/>
          <w:sz w:val="22"/>
          <w:szCs w:val="22"/>
          <w:lang w:val="en-US"/>
        </w:rPr>
        <w:t>8. Submission Procedure</w:t>
      </w:r>
    </w:p>
    <w:p w14:paraId="5267AB35" w14:textId="7D3B01C7" w:rsidR="00D3566B" w:rsidRPr="00D3566B" w:rsidRDefault="00D3566B" w:rsidP="00D3566B">
      <w:r w:rsidRPr="00D3566B">
        <w:rPr>
          <w:color w:val="000000" w:themeColor="text1"/>
          <w:sz w:val="22"/>
          <w:szCs w:val="22"/>
        </w:rPr>
        <w:t xml:space="preserve">Applications must be submitted </w:t>
      </w:r>
      <w:r w:rsidRPr="00D3566B">
        <w:rPr>
          <w:b/>
          <w:color w:val="000000" w:themeColor="text1"/>
          <w:sz w:val="22"/>
          <w:szCs w:val="22"/>
        </w:rPr>
        <w:t xml:space="preserve">until </w:t>
      </w:r>
      <w:r>
        <w:rPr>
          <w:b/>
          <w:color w:val="000000" w:themeColor="text1"/>
          <w:sz w:val="22"/>
          <w:szCs w:val="22"/>
        </w:rPr>
        <w:t>0</w:t>
      </w:r>
      <w:r w:rsidRPr="00D3566B">
        <w:rPr>
          <w:b/>
          <w:color w:val="000000" w:themeColor="text1"/>
          <w:sz w:val="22"/>
          <w:szCs w:val="22"/>
        </w:rPr>
        <w:t>5</w:t>
      </w:r>
      <w:r w:rsidRPr="00D3566B">
        <w:rPr>
          <w:b/>
          <w:color w:val="000000" w:themeColor="text1"/>
          <w:sz w:val="22"/>
          <w:szCs w:val="22"/>
          <w:vertAlign w:val="superscript"/>
        </w:rPr>
        <w:t>th</w:t>
      </w:r>
      <w:r w:rsidRPr="00D3566B">
        <w:rPr>
          <w:b/>
          <w:color w:val="000000" w:themeColor="text1"/>
          <w:sz w:val="22"/>
          <w:szCs w:val="22"/>
        </w:rPr>
        <w:t xml:space="preserve"> March 2026</w:t>
      </w:r>
      <w:r w:rsidRPr="00D3566B">
        <w:rPr>
          <w:color w:val="000000" w:themeColor="text1"/>
          <w:sz w:val="22"/>
          <w:szCs w:val="22"/>
        </w:rPr>
        <w:t xml:space="preserve"> via email (</w:t>
      </w:r>
      <w:hyperlink r:id="rId10" w:history="1">
        <w:r w:rsidR="00E425CD" w:rsidRPr="00E425CD">
          <w:rPr>
            <w:rStyle w:val="Hyperlink"/>
            <w:b/>
            <w:bCs/>
          </w:rPr>
          <w:t>info@asb.ge</w:t>
        </w:r>
      </w:hyperlink>
      <w:r w:rsidRPr="00D3566B">
        <w:rPr>
          <w:color w:val="000000" w:themeColor="text1"/>
          <w:sz w:val="22"/>
          <w:szCs w:val="22"/>
        </w:rPr>
        <w:t>).</w:t>
      </w:r>
    </w:p>
    <w:p w14:paraId="577229D9" w14:textId="53173D25" w:rsidR="00CF52B3" w:rsidRPr="00D03EA4" w:rsidRDefault="00CF52B3" w:rsidP="00CF52B3">
      <w:pPr>
        <w:rPr>
          <w:color w:val="000000" w:themeColor="text1"/>
          <w:sz w:val="22"/>
          <w:szCs w:val="22"/>
          <w:lang w:val="en-US"/>
        </w:rPr>
      </w:pPr>
      <w:r w:rsidRPr="00D03EA4">
        <w:rPr>
          <w:color w:val="000000" w:themeColor="text1"/>
          <w:sz w:val="22"/>
          <w:szCs w:val="22"/>
          <w:lang w:val="en-US"/>
        </w:rPr>
        <w:t xml:space="preserve">Applications </w:t>
      </w:r>
      <w:r w:rsidR="00D03EA4" w:rsidRPr="00D03EA4">
        <w:rPr>
          <w:color w:val="000000" w:themeColor="text1"/>
          <w:sz w:val="22"/>
          <w:szCs w:val="22"/>
          <w:lang w:val="en-US"/>
        </w:rPr>
        <w:t xml:space="preserve">also can </w:t>
      </w:r>
      <w:r w:rsidRPr="00D03EA4">
        <w:rPr>
          <w:color w:val="000000" w:themeColor="text1"/>
          <w:sz w:val="22"/>
          <w:szCs w:val="22"/>
          <w:lang w:val="en-US"/>
        </w:rPr>
        <w:t>be submitted in a sealed envelope by post or courier service to the following address:</w:t>
      </w:r>
    </w:p>
    <w:p w14:paraId="51BC5042" w14:textId="22C23A2D" w:rsidR="00CF52B3" w:rsidRDefault="00EC5FE0" w:rsidP="00CF52B3">
      <w:pPr>
        <w:rPr>
          <w:color w:val="000000" w:themeColor="text1"/>
          <w:sz w:val="22"/>
          <w:szCs w:val="22"/>
          <w:lang w:val="en-US"/>
        </w:rPr>
      </w:pPr>
      <w:r>
        <w:rPr>
          <w:color w:val="000000" w:themeColor="text1"/>
          <w:sz w:val="22"/>
          <w:szCs w:val="22"/>
          <w:lang w:val="en-US"/>
        </w:rPr>
        <w:t xml:space="preserve">16 </w:t>
      </w:r>
      <w:proofErr w:type="spellStart"/>
      <w:r>
        <w:rPr>
          <w:color w:val="000000" w:themeColor="text1"/>
          <w:sz w:val="22"/>
          <w:szCs w:val="22"/>
          <w:lang w:val="en-US"/>
        </w:rPr>
        <w:t>Kievyan</w:t>
      </w:r>
      <w:proofErr w:type="spellEnd"/>
      <w:r>
        <w:rPr>
          <w:color w:val="000000" w:themeColor="text1"/>
          <w:sz w:val="22"/>
          <w:szCs w:val="22"/>
          <w:lang w:val="en-US"/>
        </w:rPr>
        <w:t xml:space="preserve"> </w:t>
      </w:r>
      <w:proofErr w:type="spellStart"/>
      <w:r>
        <w:rPr>
          <w:color w:val="000000" w:themeColor="text1"/>
          <w:sz w:val="22"/>
          <w:szCs w:val="22"/>
          <w:lang w:val="en-US"/>
        </w:rPr>
        <w:t>st.</w:t>
      </w:r>
      <w:proofErr w:type="spellEnd"/>
      <w:r>
        <w:rPr>
          <w:color w:val="000000" w:themeColor="text1"/>
          <w:sz w:val="22"/>
          <w:szCs w:val="22"/>
          <w:lang w:val="en-US"/>
        </w:rPr>
        <w:t xml:space="preserve">, </w:t>
      </w:r>
      <w:r w:rsidR="006D71B7">
        <w:rPr>
          <w:color w:val="000000" w:themeColor="text1"/>
          <w:sz w:val="22"/>
          <w:szCs w:val="22"/>
          <w:lang w:val="en-US"/>
        </w:rPr>
        <w:t>9</w:t>
      </w:r>
      <w:r w:rsidR="006D71B7" w:rsidRPr="006D71B7">
        <w:rPr>
          <w:color w:val="000000" w:themeColor="text1"/>
          <w:sz w:val="22"/>
          <w:szCs w:val="22"/>
          <w:vertAlign w:val="superscript"/>
          <w:lang w:val="en-US"/>
        </w:rPr>
        <w:t>th</w:t>
      </w:r>
      <w:r w:rsidR="006D71B7">
        <w:rPr>
          <w:color w:val="000000" w:themeColor="text1"/>
          <w:sz w:val="22"/>
          <w:szCs w:val="22"/>
          <w:lang w:val="en-US"/>
        </w:rPr>
        <w:t xml:space="preserve"> Floor, Yerevan</w:t>
      </w:r>
      <w:r w:rsidR="00A40249">
        <w:rPr>
          <w:color w:val="000000" w:themeColor="text1"/>
          <w:sz w:val="22"/>
          <w:szCs w:val="22"/>
          <w:lang w:val="en-US"/>
        </w:rPr>
        <w:t>, Armenia</w:t>
      </w:r>
    </w:p>
    <w:p w14:paraId="020BED98" w14:textId="77777777" w:rsidR="00D03EA4" w:rsidRDefault="00D03EA4" w:rsidP="00CF52B3">
      <w:pPr>
        <w:rPr>
          <w:color w:val="000000" w:themeColor="text1"/>
          <w:sz w:val="22"/>
          <w:szCs w:val="22"/>
          <w:lang w:val="en-US"/>
        </w:rPr>
      </w:pPr>
    </w:p>
    <w:p w14:paraId="0FDE7648" w14:textId="5E87020C" w:rsidR="00B97841" w:rsidRPr="00CF52B3" w:rsidRDefault="00D03EA4" w:rsidP="00CF52B3">
      <w:pPr>
        <w:rPr>
          <w:color w:val="000000" w:themeColor="text1"/>
          <w:sz w:val="22"/>
          <w:szCs w:val="22"/>
          <w:lang w:val="en-US"/>
        </w:rPr>
      </w:pPr>
      <w:r w:rsidRPr="00D03EA4">
        <w:rPr>
          <w:color w:val="000000" w:themeColor="text1"/>
          <w:sz w:val="22"/>
          <w:szCs w:val="22"/>
          <w:lang w:val="en-US"/>
        </w:rPr>
        <w:t>Only shortlisted applicants will be contacted.</w:t>
      </w:r>
    </w:p>
    <w:p w14:paraId="66927412" w14:textId="58FFB77A" w:rsidR="00A63705" w:rsidRDefault="00CF52B3" w:rsidP="00CF52B3">
      <w:pPr>
        <w:rPr>
          <w:b/>
          <w:bCs/>
          <w:color w:val="000000" w:themeColor="text1"/>
          <w:sz w:val="22"/>
          <w:szCs w:val="22"/>
          <w:lang w:val="en-US"/>
        </w:rPr>
      </w:pPr>
      <w:r w:rsidRPr="00CF52B3">
        <w:rPr>
          <w:b/>
          <w:bCs/>
          <w:color w:val="000000" w:themeColor="text1"/>
          <w:sz w:val="22"/>
          <w:szCs w:val="22"/>
          <w:lang w:val="en-US"/>
        </w:rPr>
        <w:t xml:space="preserve">The </w:t>
      </w:r>
      <w:r w:rsidR="00D03EA4">
        <w:rPr>
          <w:b/>
          <w:bCs/>
          <w:color w:val="000000" w:themeColor="text1"/>
          <w:sz w:val="22"/>
          <w:szCs w:val="22"/>
          <w:lang w:val="en-US"/>
        </w:rPr>
        <w:t xml:space="preserve">subject or </w:t>
      </w:r>
      <w:r w:rsidRPr="00CF52B3">
        <w:rPr>
          <w:b/>
          <w:bCs/>
          <w:color w:val="000000" w:themeColor="text1"/>
          <w:sz w:val="22"/>
          <w:szCs w:val="22"/>
          <w:lang w:val="en-US"/>
        </w:rPr>
        <w:t>envelope must be clearly marked:</w:t>
      </w:r>
      <w:r w:rsidRPr="00CF52B3">
        <w:rPr>
          <w:b/>
          <w:bCs/>
          <w:color w:val="000000" w:themeColor="text1"/>
          <w:sz w:val="22"/>
          <w:szCs w:val="22"/>
          <w:lang w:val="en-US"/>
        </w:rPr>
        <w:br/>
        <w:t xml:space="preserve">“Offer for the </w:t>
      </w:r>
      <w:r w:rsidR="00B97841" w:rsidRPr="00B97841">
        <w:rPr>
          <w:b/>
          <w:bCs/>
          <w:color w:val="000000" w:themeColor="text1"/>
          <w:sz w:val="22"/>
          <w:szCs w:val="22"/>
        </w:rPr>
        <w:t>Training Services</w:t>
      </w:r>
      <w:r w:rsidRPr="00CF52B3">
        <w:rPr>
          <w:b/>
          <w:bCs/>
          <w:color w:val="000000" w:themeColor="text1"/>
          <w:sz w:val="22"/>
          <w:szCs w:val="22"/>
          <w:lang w:val="en-US"/>
        </w:rPr>
        <w:t>”</w:t>
      </w:r>
    </w:p>
    <w:p w14:paraId="405FD96E" w14:textId="59E875F5" w:rsidR="00CF52B3" w:rsidRPr="00CF52B3" w:rsidRDefault="00CF52B3" w:rsidP="00CF52B3">
      <w:pPr>
        <w:rPr>
          <w:b/>
          <w:bCs/>
          <w:color w:val="000000" w:themeColor="text1"/>
          <w:sz w:val="22"/>
          <w:szCs w:val="22"/>
          <w:lang w:val="en-US"/>
        </w:rPr>
      </w:pPr>
    </w:p>
    <w:p w14:paraId="0897A18C" w14:textId="4D650FC3" w:rsidR="000A61B7" w:rsidRPr="00CF52B3" w:rsidRDefault="000A61B7" w:rsidP="00CF52B3">
      <w:pPr>
        <w:rPr>
          <w:lang w:val="en-US"/>
        </w:rPr>
      </w:pPr>
    </w:p>
    <w:sectPr w:rsidR="000A61B7" w:rsidRPr="00CF52B3" w:rsidSect="001B3906">
      <w:headerReference w:type="default" r:id="rId11"/>
      <w:footerReference w:type="first" r:id="rId1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FA34" w14:textId="77777777" w:rsidR="006E4204" w:rsidRDefault="006E4204">
      <w:pPr>
        <w:spacing w:before="0" w:after="0"/>
      </w:pPr>
      <w:r>
        <w:separator/>
      </w:r>
    </w:p>
  </w:endnote>
  <w:endnote w:type="continuationSeparator" w:id="0">
    <w:p w14:paraId="757945A4" w14:textId="77777777" w:rsidR="006E4204" w:rsidRDefault="006E42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5BD8" w14:textId="77777777" w:rsidR="001B3906" w:rsidRPr="00394294" w:rsidRDefault="001B3906" w:rsidP="00D16B72">
    <w:pPr>
      <w:pStyle w:val="Footer"/>
      <w:spacing w:before="0"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E752" w14:textId="77777777" w:rsidR="006E4204" w:rsidRDefault="006E4204">
      <w:pPr>
        <w:spacing w:before="0" w:after="0"/>
      </w:pPr>
      <w:r>
        <w:separator/>
      </w:r>
    </w:p>
  </w:footnote>
  <w:footnote w:type="continuationSeparator" w:id="0">
    <w:p w14:paraId="78A8BF9F" w14:textId="77777777" w:rsidR="006E4204" w:rsidRDefault="006E42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2E71" w14:textId="77777777" w:rsidR="001B3906" w:rsidRPr="006937E9" w:rsidRDefault="001B3906">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3FDD"/>
    <w:multiLevelType w:val="hybridMultilevel"/>
    <w:tmpl w:val="79DEB86E"/>
    <w:lvl w:ilvl="0" w:tplc="0C000001">
      <w:start w:val="1"/>
      <w:numFmt w:val="bullet"/>
      <w:lvlText w:val=""/>
      <w:lvlJc w:val="left"/>
      <w:pPr>
        <w:ind w:left="888" w:hanging="360"/>
      </w:pPr>
      <w:rPr>
        <w:rFonts w:ascii="Symbol" w:hAnsi="Symbol" w:hint="default"/>
      </w:rPr>
    </w:lvl>
    <w:lvl w:ilvl="1" w:tplc="0C000003" w:tentative="1">
      <w:start w:val="1"/>
      <w:numFmt w:val="bullet"/>
      <w:lvlText w:val="o"/>
      <w:lvlJc w:val="left"/>
      <w:pPr>
        <w:ind w:left="1608" w:hanging="360"/>
      </w:pPr>
      <w:rPr>
        <w:rFonts w:ascii="Courier New" w:hAnsi="Courier New" w:cs="Courier New" w:hint="default"/>
      </w:rPr>
    </w:lvl>
    <w:lvl w:ilvl="2" w:tplc="0C000005" w:tentative="1">
      <w:start w:val="1"/>
      <w:numFmt w:val="bullet"/>
      <w:lvlText w:val=""/>
      <w:lvlJc w:val="left"/>
      <w:pPr>
        <w:ind w:left="2328" w:hanging="360"/>
      </w:pPr>
      <w:rPr>
        <w:rFonts w:ascii="Wingdings" w:hAnsi="Wingdings" w:hint="default"/>
      </w:rPr>
    </w:lvl>
    <w:lvl w:ilvl="3" w:tplc="0C000001" w:tentative="1">
      <w:start w:val="1"/>
      <w:numFmt w:val="bullet"/>
      <w:lvlText w:val=""/>
      <w:lvlJc w:val="left"/>
      <w:pPr>
        <w:ind w:left="3048" w:hanging="360"/>
      </w:pPr>
      <w:rPr>
        <w:rFonts w:ascii="Symbol" w:hAnsi="Symbol" w:hint="default"/>
      </w:rPr>
    </w:lvl>
    <w:lvl w:ilvl="4" w:tplc="0C000003" w:tentative="1">
      <w:start w:val="1"/>
      <w:numFmt w:val="bullet"/>
      <w:lvlText w:val="o"/>
      <w:lvlJc w:val="left"/>
      <w:pPr>
        <w:ind w:left="3768" w:hanging="360"/>
      </w:pPr>
      <w:rPr>
        <w:rFonts w:ascii="Courier New" w:hAnsi="Courier New" w:cs="Courier New" w:hint="default"/>
      </w:rPr>
    </w:lvl>
    <w:lvl w:ilvl="5" w:tplc="0C000005" w:tentative="1">
      <w:start w:val="1"/>
      <w:numFmt w:val="bullet"/>
      <w:lvlText w:val=""/>
      <w:lvlJc w:val="left"/>
      <w:pPr>
        <w:ind w:left="4488" w:hanging="360"/>
      </w:pPr>
      <w:rPr>
        <w:rFonts w:ascii="Wingdings" w:hAnsi="Wingdings" w:hint="default"/>
      </w:rPr>
    </w:lvl>
    <w:lvl w:ilvl="6" w:tplc="0C000001" w:tentative="1">
      <w:start w:val="1"/>
      <w:numFmt w:val="bullet"/>
      <w:lvlText w:val=""/>
      <w:lvlJc w:val="left"/>
      <w:pPr>
        <w:ind w:left="5208" w:hanging="360"/>
      </w:pPr>
      <w:rPr>
        <w:rFonts w:ascii="Symbol" w:hAnsi="Symbol" w:hint="default"/>
      </w:rPr>
    </w:lvl>
    <w:lvl w:ilvl="7" w:tplc="0C000003" w:tentative="1">
      <w:start w:val="1"/>
      <w:numFmt w:val="bullet"/>
      <w:lvlText w:val="o"/>
      <w:lvlJc w:val="left"/>
      <w:pPr>
        <w:ind w:left="5928" w:hanging="360"/>
      </w:pPr>
      <w:rPr>
        <w:rFonts w:ascii="Courier New" w:hAnsi="Courier New" w:cs="Courier New" w:hint="default"/>
      </w:rPr>
    </w:lvl>
    <w:lvl w:ilvl="8" w:tplc="0C000005" w:tentative="1">
      <w:start w:val="1"/>
      <w:numFmt w:val="bullet"/>
      <w:lvlText w:val=""/>
      <w:lvlJc w:val="left"/>
      <w:pPr>
        <w:ind w:left="6648" w:hanging="360"/>
      </w:pPr>
      <w:rPr>
        <w:rFonts w:ascii="Wingdings" w:hAnsi="Wingdings" w:hint="default"/>
      </w:rPr>
    </w:lvl>
  </w:abstractNum>
  <w:abstractNum w:abstractNumId="1" w15:restartNumberingAfterBreak="0">
    <w:nsid w:val="271B6182"/>
    <w:multiLevelType w:val="hybridMultilevel"/>
    <w:tmpl w:val="274A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42940"/>
    <w:multiLevelType w:val="multilevel"/>
    <w:tmpl w:val="6592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1234D"/>
    <w:multiLevelType w:val="multilevel"/>
    <w:tmpl w:val="D79A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A34E9"/>
    <w:multiLevelType w:val="hybridMultilevel"/>
    <w:tmpl w:val="308C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E439D"/>
    <w:multiLevelType w:val="multilevel"/>
    <w:tmpl w:val="2D78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C7CC5"/>
    <w:multiLevelType w:val="multilevel"/>
    <w:tmpl w:val="AE94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739814">
    <w:abstractNumId w:val="1"/>
  </w:num>
  <w:num w:numId="2" w16cid:durableId="1774202924">
    <w:abstractNumId w:val="4"/>
  </w:num>
  <w:num w:numId="3" w16cid:durableId="215092431">
    <w:abstractNumId w:val="0"/>
  </w:num>
  <w:num w:numId="4" w16cid:durableId="1868332603">
    <w:abstractNumId w:val="2"/>
  </w:num>
  <w:num w:numId="5" w16cid:durableId="130249557">
    <w:abstractNumId w:val="6"/>
  </w:num>
  <w:num w:numId="6" w16cid:durableId="1095831393">
    <w:abstractNumId w:val="5"/>
  </w:num>
  <w:num w:numId="7" w16cid:durableId="178588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A9"/>
    <w:rsid w:val="00050F86"/>
    <w:rsid w:val="00074427"/>
    <w:rsid w:val="000A61B7"/>
    <w:rsid w:val="000A7A74"/>
    <w:rsid w:val="000E3F93"/>
    <w:rsid w:val="0011052C"/>
    <w:rsid w:val="00137CAE"/>
    <w:rsid w:val="001B3906"/>
    <w:rsid w:val="001C44A9"/>
    <w:rsid w:val="00243F84"/>
    <w:rsid w:val="002B5D7E"/>
    <w:rsid w:val="002E0263"/>
    <w:rsid w:val="002E32DF"/>
    <w:rsid w:val="002F1A2E"/>
    <w:rsid w:val="002F7B5E"/>
    <w:rsid w:val="00312C78"/>
    <w:rsid w:val="00396B2C"/>
    <w:rsid w:val="00425031"/>
    <w:rsid w:val="00467164"/>
    <w:rsid w:val="004A167C"/>
    <w:rsid w:val="004C4FFE"/>
    <w:rsid w:val="004D447E"/>
    <w:rsid w:val="004F28D8"/>
    <w:rsid w:val="004F38AA"/>
    <w:rsid w:val="00597263"/>
    <w:rsid w:val="005C3643"/>
    <w:rsid w:val="005E017F"/>
    <w:rsid w:val="00660BFF"/>
    <w:rsid w:val="006C3E0F"/>
    <w:rsid w:val="006D71B7"/>
    <w:rsid w:val="006E4204"/>
    <w:rsid w:val="00701F01"/>
    <w:rsid w:val="00745DDA"/>
    <w:rsid w:val="00763DF0"/>
    <w:rsid w:val="007C1A21"/>
    <w:rsid w:val="007C48A4"/>
    <w:rsid w:val="007D3117"/>
    <w:rsid w:val="0081755A"/>
    <w:rsid w:val="00824907"/>
    <w:rsid w:val="00883F4A"/>
    <w:rsid w:val="00893A06"/>
    <w:rsid w:val="008B52FE"/>
    <w:rsid w:val="00921F7A"/>
    <w:rsid w:val="009A623A"/>
    <w:rsid w:val="00A24BCD"/>
    <w:rsid w:val="00A40249"/>
    <w:rsid w:val="00A63705"/>
    <w:rsid w:val="00A75B49"/>
    <w:rsid w:val="00A81B89"/>
    <w:rsid w:val="00A86801"/>
    <w:rsid w:val="00A94D3C"/>
    <w:rsid w:val="00B624CF"/>
    <w:rsid w:val="00B97841"/>
    <w:rsid w:val="00BC45E4"/>
    <w:rsid w:val="00BD3AAD"/>
    <w:rsid w:val="00C33C03"/>
    <w:rsid w:val="00C9603E"/>
    <w:rsid w:val="00CC27B8"/>
    <w:rsid w:val="00CF52B3"/>
    <w:rsid w:val="00D03EA4"/>
    <w:rsid w:val="00D26E3D"/>
    <w:rsid w:val="00D3566B"/>
    <w:rsid w:val="00D37D85"/>
    <w:rsid w:val="00DB1288"/>
    <w:rsid w:val="00E041BF"/>
    <w:rsid w:val="00E2009F"/>
    <w:rsid w:val="00E2304E"/>
    <w:rsid w:val="00E425CD"/>
    <w:rsid w:val="00EC5FE0"/>
    <w:rsid w:val="00F9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CB2F"/>
  <w15:chartTrackingRefBased/>
  <w15:docId w15:val="{4A2BA5F6-2E53-4539-B3C5-91E9FEBD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06"/>
    <w:pPr>
      <w:widowControl w:val="0"/>
      <w:spacing w:before="100" w:after="100" w:line="240" w:lineRule="auto"/>
    </w:pPr>
    <w:rPr>
      <w:rFonts w:ascii="Times New Roman" w:eastAsia="Times New Roman" w:hAnsi="Times New Roman" w:cs="Times New Roman"/>
      <w:snapToGrid w:val="0"/>
      <w:kern w:val="0"/>
      <w:szCs w:val="20"/>
      <w:lang w:val="en-GB"/>
      <w14:ligatures w14:val="none"/>
    </w:rPr>
  </w:style>
  <w:style w:type="paragraph" w:styleId="Heading1">
    <w:name w:val="heading 1"/>
    <w:basedOn w:val="Normal"/>
    <w:next w:val="Normal"/>
    <w:link w:val="Heading1Char"/>
    <w:uiPriority w:val="9"/>
    <w:qFormat/>
    <w:rsid w:val="001C4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4A9"/>
    <w:rPr>
      <w:rFonts w:eastAsiaTheme="majorEastAsia" w:cstheme="majorBidi"/>
      <w:color w:val="272727" w:themeColor="text1" w:themeTint="D8"/>
    </w:rPr>
  </w:style>
  <w:style w:type="paragraph" w:styleId="Title">
    <w:name w:val="Title"/>
    <w:basedOn w:val="Normal"/>
    <w:next w:val="Normal"/>
    <w:link w:val="TitleChar"/>
    <w:uiPriority w:val="10"/>
    <w:qFormat/>
    <w:rsid w:val="001C44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4A9"/>
    <w:pPr>
      <w:spacing w:before="160"/>
      <w:jc w:val="center"/>
    </w:pPr>
    <w:rPr>
      <w:i/>
      <w:iCs/>
      <w:color w:val="404040" w:themeColor="text1" w:themeTint="BF"/>
    </w:rPr>
  </w:style>
  <w:style w:type="character" w:customStyle="1" w:styleId="QuoteChar">
    <w:name w:val="Quote Char"/>
    <w:basedOn w:val="DefaultParagraphFont"/>
    <w:link w:val="Quote"/>
    <w:uiPriority w:val="29"/>
    <w:rsid w:val="001C44A9"/>
    <w:rPr>
      <w:i/>
      <w:iCs/>
      <w:color w:val="404040" w:themeColor="text1" w:themeTint="BF"/>
    </w:rPr>
  </w:style>
  <w:style w:type="paragraph" w:styleId="ListParagraph">
    <w:name w:val="List Paragraph"/>
    <w:basedOn w:val="Normal"/>
    <w:uiPriority w:val="34"/>
    <w:qFormat/>
    <w:rsid w:val="001C44A9"/>
    <w:pPr>
      <w:ind w:left="720"/>
      <w:contextualSpacing/>
    </w:pPr>
  </w:style>
  <w:style w:type="character" w:styleId="IntenseEmphasis">
    <w:name w:val="Intense Emphasis"/>
    <w:basedOn w:val="DefaultParagraphFont"/>
    <w:uiPriority w:val="21"/>
    <w:qFormat/>
    <w:rsid w:val="001C44A9"/>
    <w:rPr>
      <w:i/>
      <w:iCs/>
      <w:color w:val="0F4761" w:themeColor="accent1" w:themeShade="BF"/>
    </w:rPr>
  </w:style>
  <w:style w:type="paragraph" w:styleId="IntenseQuote">
    <w:name w:val="Intense Quote"/>
    <w:basedOn w:val="Normal"/>
    <w:next w:val="Normal"/>
    <w:link w:val="IntenseQuoteChar"/>
    <w:uiPriority w:val="30"/>
    <w:qFormat/>
    <w:rsid w:val="001C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A9"/>
    <w:rPr>
      <w:i/>
      <w:iCs/>
      <w:color w:val="0F4761" w:themeColor="accent1" w:themeShade="BF"/>
    </w:rPr>
  </w:style>
  <w:style w:type="character" w:styleId="IntenseReference">
    <w:name w:val="Intense Reference"/>
    <w:basedOn w:val="DefaultParagraphFont"/>
    <w:uiPriority w:val="32"/>
    <w:qFormat/>
    <w:rsid w:val="001C44A9"/>
    <w:rPr>
      <w:b/>
      <w:bCs/>
      <w:smallCaps/>
      <w:color w:val="0F4761" w:themeColor="accent1" w:themeShade="BF"/>
      <w:spacing w:val="5"/>
    </w:rPr>
  </w:style>
  <w:style w:type="character" w:styleId="Hyperlink">
    <w:name w:val="Hyperlink"/>
    <w:rsid w:val="001B3906"/>
    <w:rPr>
      <w:color w:val="0000FF"/>
      <w:u w:val="single"/>
    </w:rPr>
  </w:style>
  <w:style w:type="paragraph" w:styleId="Header">
    <w:name w:val="header"/>
    <w:basedOn w:val="Normal"/>
    <w:link w:val="HeaderChar"/>
    <w:rsid w:val="001B3906"/>
    <w:pPr>
      <w:tabs>
        <w:tab w:val="center" w:pos="4320"/>
        <w:tab w:val="right" w:pos="8640"/>
      </w:tabs>
    </w:pPr>
  </w:style>
  <w:style w:type="character" w:customStyle="1" w:styleId="HeaderChar">
    <w:name w:val="Header Char"/>
    <w:basedOn w:val="DefaultParagraphFont"/>
    <w:link w:val="Header"/>
    <w:rsid w:val="001B3906"/>
    <w:rPr>
      <w:rFonts w:ascii="Times New Roman" w:eastAsia="Times New Roman" w:hAnsi="Times New Roman" w:cs="Times New Roman"/>
      <w:snapToGrid w:val="0"/>
      <w:kern w:val="0"/>
      <w:szCs w:val="20"/>
      <w:lang w:val="en-GB"/>
      <w14:ligatures w14:val="none"/>
    </w:rPr>
  </w:style>
  <w:style w:type="paragraph" w:styleId="Footer">
    <w:name w:val="footer"/>
    <w:basedOn w:val="Normal"/>
    <w:link w:val="FooterChar"/>
    <w:rsid w:val="001B3906"/>
    <w:pPr>
      <w:tabs>
        <w:tab w:val="center" w:pos="4320"/>
        <w:tab w:val="right" w:pos="8640"/>
      </w:tabs>
    </w:pPr>
  </w:style>
  <w:style w:type="character" w:customStyle="1" w:styleId="FooterChar">
    <w:name w:val="Footer Char"/>
    <w:basedOn w:val="DefaultParagraphFont"/>
    <w:link w:val="Footer"/>
    <w:rsid w:val="001B3906"/>
    <w:rPr>
      <w:rFonts w:ascii="Times New Roman" w:eastAsia="Times New Roman" w:hAnsi="Times New Roman" w:cs="Times New Roman"/>
      <w:snapToGrid w:val="0"/>
      <w:kern w:val="0"/>
      <w:szCs w:val="20"/>
      <w:lang w:val="en-GB"/>
      <w14:ligatures w14:val="none"/>
    </w:rPr>
  </w:style>
  <w:style w:type="paragraph" w:styleId="NoSpacing">
    <w:name w:val="No Spacing"/>
    <w:uiPriority w:val="1"/>
    <w:qFormat/>
    <w:rsid w:val="001B3906"/>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312C78"/>
    <w:rPr>
      <w:color w:val="605E5C"/>
      <w:shd w:val="clear" w:color="auto" w:fill="E1DFDD"/>
    </w:rPr>
  </w:style>
  <w:style w:type="paragraph" w:styleId="NormalWeb">
    <w:name w:val="Normal (Web)"/>
    <w:basedOn w:val="Normal"/>
    <w:uiPriority w:val="99"/>
    <w:semiHidden/>
    <w:unhideWhenUsed/>
    <w:rsid w:val="00396B2C"/>
    <w:pPr>
      <w:widowControl/>
      <w:spacing w:beforeAutospacing="1" w:afterAutospacing="1"/>
    </w:pPr>
    <w:rPr>
      <w:snapToGrid/>
      <w:szCs w:val="24"/>
      <w:lang w:val="en-US"/>
    </w:rPr>
  </w:style>
  <w:style w:type="character" w:styleId="Strong">
    <w:name w:val="Strong"/>
    <w:basedOn w:val="DefaultParagraphFont"/>
    <w:uiPriority w:val="22"/>
    <w:qFormat/>
    <w:rsid w:val="00396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asb.ge" TargetMode="External"/><Relationship Id="rId4" Type="http://schemas.openxmlformats.org/officeDocument/2006/relationships/webSettings" Target="webSettings.xml"/><Relationship Id="rId9" Type="http://schemas.openxmlformats.org/officeDocument/2006/relationships/hyperlink" Target="mailto:d.kirakos@asb-armeni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561</Words>
  <Characters>3446</Characters>
  <Application>Microsoft Office Word</Application>
  <DocSecurity>0</DocSecurity>
  <Lines>81</Lines>
  <Paragraphs>42</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Hakobyan</dc:creator>
  <cp:keywords/>
  <dc:description/>
  <cp:lastModifiedBy>Robert Hakobyan</cp:lastModifiedBy>
  <cp:revision>58</cp:revision>
  <dcterms:created xsi:type="dcterms:W3CDTF">2026-02-16T12:08:00Z</dcterms:created>
  <dcterms:modified xsi:type="dcterms:W3CDTF">2026-02-19T08:37:00Z</dcterms:modified>
</cp:coreProperties>
</file>