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4C57C29B" w:rsidR="004F4299" w:rsidRPr="000E6AF9" w:rsidRDefault="0086656E" w:rsidP="004F4299">
            <w:pPr>
              <w:spacing w:before="120" w:after="120" w:line="240" w:lineRule="auto"/>
              <w:jc w:val="left"/>
              <w:rPr>
                <w:rFonts w:cs="Arial"/>
                <w:sz w:val="20"/>
                <w:szCs w:val="20"/>
                <w:lang w:val="en-GB"/>
              </w:rPr>
            </w:pPr>
            <w:r>
              <w:rPr>
                <w:rFonts w:cs="Arial"/>
                <w:sz w:val="20"/>
                <w:szCs w:val="20"/>
                <w:lang w:val="en-GB"/>
              </w:rPr>
              <w:t>21</w:t>
            </w:r>
            <w:r w:rsidR="000E6AF9" w:rsidRPr="004F3816">
              <w:rPr>
                <w:rFonts w:cs="Arial"/>
                <w:sz w:val="20"/>
                <w:szCs w:val="20"/>
                <w:lang w:val="en-GB"/>
              </w:rPr>
              <w:t>.</w:t>
            </w:r>
            <w:r>
              <w:rPr>
                <w:rFonts w:cs="Arial"/>
                <w:sz w:val="20"/>
                <w:szCs w:val="20"/>
                <w:lang w:val="en-GB"/>
              </w:rPr>
              <w:t>11</w:t>
            </w:r>
            <w:r w:rsidR="000E6AF9" w:rsidRPr="004F3816">
              <w:rPr>
                <w:rFonts w:cs="Arial"/>
                <w:sz w:val="20"/>
                <w:szCs w:val="20"/>
                <w:lang w:val="en-GB"/>
              </w:rPr>
              <w:t>.2024.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42503B97" w:rsidR="004F4299" w:rsidRPr="000E6AF9" w:rsidRDefault="00C46970" w:rsidP="004F4299">
            <w:pPr>
              <w:spacing w:before="120" w:after="120" w:line="240" w:lineRule="auto"/>
              <w:jc w:val="left"/>
              <w:rPr>
                <w:rFonts w:cs="Arial"/>
                <w:sz w:val="20"/>
                <w:szCs w:val="20"/>
                <w:lang w:val="en-GB"/>
              </w:rPr>
            </w:pPr>
            <w:r w:rsidRPr="000E6AF9">
              <w:rPr>
                <w:rFonts w:cs="Arial"/>
                <w:sz w:val="20"/>
                <w:szCs w:val="20"/>
                <w:lang w:val="en-GB"/>
              </w:rPr>
              <w:t>P-SOE-12-23-2</w:t>
            </w:r>
            <w:r w:rsidR="00B46055" w:rsidRPr="000E6AF9">
              <w:rPr>
                <w:rFonts w:cs="Arial"/>
                <w:sz w:val="20"/>
                <w:szCs w:val="20"/>
                <w:lang w:val="en-GB"/>
              </w:rPr>
              <w:t>4</w:t>
            </w:r>
            <w:r w:rsidRPr="000E6AF9">
              <w:rPr>
                <w:rFonts w:cs="Arial"/>
                <w:sz w:val="20"/>
                <w:szCs w:val="20"/>
                <w:lang w:val="en-GB"/>
              </w:rPr>
              <w:t>-</w:t>
            </w:r>
            <w:r w:rsidR="0007373C" w:rsidRPr="000E6AF9">
              <w:rPr>
                <w:rFonts w:cs="Arial"/>
                <w:sz w:val="20"/>
                <w:szCs w:val="20"/>
                <w:lang w:val="en-GB"/>
              </w:rPr>
              <w:t>1</w:t>
            </w:r>
            <w:r w:rsidR="0086656E">
              <w:rPr>
                <w:rFonts w:cs="Arial"/>
                <w:sz w:val="20"/>
                <w:szCs w:val="20"/>
                <w:lang w:val="en-GB"/>
              </w:rPr>
              <w:t>4</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49333616" w:rsidR="004F4299" w:rsidRPr="000E6AF9" w:rsidRDefault="0086656E" w:rsidP="006D01CA">
            <w:pPr>
              <w:widowControl/>
              <w:spacing w:before="0" w:after="120" w:line="240" w:lineRule="auto"/>
              <w:jc w:val="left"/>
              <w:rPr>
                <w:rFonts w:cstheme="minorHAnsi"/>
                <w:sz w:val="20"/>
                <w:szCs w:val="20"/>
              </w:rPr>
            </w:pPr>
            <w:bookmarkStart w:id="0" w:name="_Hlk183112662"/>
            <w:r w:rsidRPr="0086656E">
              <w:rPr>
                <w:rFonts w:cs="Arial"/>
                <w:b/>
                <w:sz w:val="20"/>
                <w:szCs w:val="20"/>
              </w:rPr>
              <w:t xml:space="preserve">Implementation of </w:t>
            </w:r>
            <w:r>
              <w:rPr>
                <w:rFonts w:cs="Arial"/>
                <w:b/>
                <w:sz w:val="20"/>
                <w:szCs w:val="20"/>
              </w:rPr>
              <w:t>TOT</w:t>
            </w:r>
            <w:r w:rsidRPr="0086656E">
              <w:rPr>
                <w:rFonts w:cs="Arial"/>
                <w:b/>
                <w:sz w:val="20"/>
                <w:szCs w:val="20"/>
              </w:rPr>
              <w:t xml:space="preserve"> services for </w:t>
            </w:r>
            <w:r>
              <w:rPr>
                <w:rFonts w:cs="Arial"/>
                <w:b/>
                <w:sz w:val="20"/>
                <w:szCs w:val="20"/>
              </w:rPr>
              <w:t>B</w:t>
            </w:r>
            <w:r w:rsidRPr="0086656E">
              <w:rPr>
                <w:rFonts w:cs="Arial"/>
                <w:b/>
                <w:sz w:val="20"/>
                <w:szCs w:val="20"/>
              </w:rPr>
              <w:t xml:space="preserve">usiness </w:t>
            </w:r>
            <w:r>
              <w:rPr>
                <w:rFonts w:cs="Arial"/>
                <w:b/>
                <w:sz w:val="20"/>
                <w:szCs w:val="20"/>
              </w:rPr>
              <w:t>S</w:t>
            </w:r>
            <w:r w:rsidRPr="0086656E">
              <w:rPr>
                <w:rFonts w:cs="Arial"/>
                <w:b/>
                <w:sz w:val="20"/>
                <w:szCs w:val="20"/>
              </w:rPr>
              <w:t xml:space="preserve">upport </w:t>
            </w:r>
            <w:r>
              <w:rPr>
                <w:rFonts w:cs="Arial"/>
                <w:b/>
                <w:sz w:val="20"/>
                <w:szCs w:val="20"/>
              </w:rPr>
              <w:t>C</w:t>
            </w:r>
            <w:r w:rsidRPr="0086656E">
              <w:rPr>
                <w:rFonts w:cs="Arial"/>
                <w:b/>
                <w:sz w:val="20"/>
                <w:szCs w:val="20"/>
              </w:rPr>
              <w:t>enter trainers by international expert</w:t>
            </w:r>
            <w:bookmarkEnd w:id="0"/>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790CFA10" w:rsidR="004F4299" w:rsidRPr="000E6AF9" w:rsidRDefault="00EA69DC" w:rsidP="004F4299">
            <w:pPr>
              <w:spacing w:before="120" w:after="120" w:line="240" w:lineRule="auto"/>
              <w:jc w:val="left"/>
              <w:rPr>
                <w:rFonts w:cs="Arial"/>
                <w:sz w:val="20"/>
                <w:szCs w:val="20"/>
                <w:lang w:val="en-GB"/>
              </w:rPr>
            </w:pPr>
            <w:r>
              <w:rPr>
                <w:rFonts w:cs="Arial"/>
                <w:sz w:val="20"/>
                <w:szCs w:val="20"/>
                <w:lang w:val="en-GB"/>
              </w:rPr>
              <w:t>2</w:t>
            </w:r>
            <w:r w:rsidR="0086656E">
              <w:rPr>
                <w:rFonts w:cs="Arial"/>
                <w:sz w:val="20"/>
                <w:szCs w:val="20"/>
                <w:lang w:val="en-GB"/>
              </w:rPr>
              <w:t>8</w:t>
            </w:r>
            <w:r w:rsidR="000E6AF9" w:rsidRPr="000E6AF9">
              <w:rPr>
                <w:rFonts w:cs="Arial"/>
                <w:sz w:val="20"/>
                <w:szCs w:val="20"/>
                <w:lang w:val="en-GB"/>
              </w:rPr>
              <w:t>.</w:t>
            </w:r>
            <w:r w:rsidR="002002E0">
              <w:rPr>
                <w:rFonts w:cs="Arial"/>
                <w:sz w:val="20"/>
                <w:szCs w:val="20"/>
                <w:lang w:val="en-GB"/>
              </w:rPr>
              <w:t>11</w:t>
            </w:r>
            <w:r w:rsidR="000E6AF9" w:rsidRPr="000E6AF9">
              <w:rPr>
                <w:rFonts w:cs="Arial"/>
                <w:sz w:val="20"/>
                <w:szCs w:val="20"/>
                <w:lang w:val="en-GB"/>
              </w:rPr>
              <w:t>.2024</w:t>
            </w:r>
            <w:r w:rsidR="000E6AF9">
              <w:rPr>
                <w:rFonts w:cs="Arial"/>
                <w:sz w:val="20"/>
                <w:szCs w:val="20"/>
                <w:lang w:val="en-GB"/>
              </w:rPr>
              <w:t>.</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1F27F6CD"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Help – Hilfe zur Selbsthilfe</w:t>
            </w:r>
          </w:p>
          <w:p w14:paraId="5B33C766"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Country Office Montenegro</w:t>
            </w:r>
          </w:p>
          <w:p w14:paraId="6C758558"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 xml:space="preserve">Cetinjski put 13/15 </w:t>
            </w:r>
          </w:p>
          <w:p w14:paraId="73897362"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81000 Podgorica, Montenegro</w:t>
            </w:r>
          </w:p>
          <w:p w14:paraId="7B1C5E86" w14:textId="77777777" w:rsidR="00EA69DC" w:rsidRPr="00EA69DC" w:rsidRDefault="00EA69DC" w:rsidP="00EA69DC">
            <w:pPr>
              <w:widowControl/>
              <w:autoSpaceDE w:val="0"/>
              <w:autoSpaceDN w:val="0"/>
              <w:adjustRightInd w:val="0"/>
              <w:spacing w:before="0" w:line="276" w:lineRule="auto"/>
              <w:textboxTightWrap w:val="none"/>
              <w:rPr>
                <w:rFonts w:cs="Arial"/>
                <w:sz w:val="20"/>
                <w:szCs w:val="20"/>
                <w:lang w:val="de-DE" w:bidi="ar-SA"/>
              </w:rPr>
            </w:pPr>
            <w:r w:rsidRPr="00EA69DC">
              <w:rPr>
                <w:rFonts w:cs="Arial"/>
                <w:sz w:val="20"/>
                <w:szCs w:val="20"/>
                <w:lang w:val="de-DE" w:bidi="ar-SA"/>
              </w:rPr>
              <w:t>Contact person: Irina Stamatović</w:t>
            </w:r>
          </w:p>
          <w:p w14:paraId="54C10A4D" w14:textId="0A63387D" w:rsidR="004F4299" w:rsidRPr="006F04BF" w:rsidRDefault="00EA69DC" w:rsidP="00EA69DC">
            <w:pPr>
              <w:spacing w:before="120" w:after="120" w:line="240" w:lineRule="auto"/>
              <w:jc w:val="left"/>
              <w:rPr>
                <w:rFonts w:cs="Arial"/>
                <w:sz w:val="18"/>
                <w:szCs w:val="18"/>
                <w:lang w:val="en-GB"/>
              </w:rPr>
            </w:pPr>
            <w:r w:rsidRPr="00EA69DC">
              <w:rPr>
                <w:rFonts w:cs="Arial"/>
                <w:sz w:val="20"/>
                <w:szCs w:val="20"/>
                <w:lang w:val="de-DE" w:bidi="ar-SA"/>
              </w:rPr>
              <w:t>Email: stamatovic@help-ev.de</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7CD79918" w14:textId="1021451D" w:rsidR="0007373C"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r w:rsidR="0086656E" w:rsidRPr="0086656E">
        <w:rPr>
          <w:rFonts w:cs="Arial"/>
          <w:b/>
          <w:sz w:val="28"/>
          <w:szCs w:val="28"/>
          <w:lang w:val="en-GB" w:bidi="ar-SA"/>
        </w:rPr>
        <w:t>Implementation of TOT services for Business Support Center trainers by international expert</w:t>
      </w:r>
    </w:p>
    <w:p w14:paraId="11168430" w14:textId="3D839AD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3930C3F8"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r w:rsidR="006D01CA">
        <w:rPr>
          <w:rFonts w:cs="Arial"/>
          <w:sz w:val="20"/>
          <w:szCs w:val="20"/>
          <w:lang w:val="en-GB" w:bidi="ar-SA"/>
        </w:rPr>
        <w:t>a</w:t>
      </w:r>
      <w:r w:rsidRPr="004F4299">
        <w:rPr>
          <w:rFonts w:cs="Arial"/>
          <w:sz w:val="20"/>
          <w:szCs w:val="20"/>
          <w:lang w:val="en-GB" w:bidi="ar-SA"/>
        </w:rPr>
        <w:t xml:space="preserve"> </w:t>
      </w:r>
      <w:r w:rsidR="0086656E" w:rsidRPr="0086656E">
        <w:rPr>
          <w:rFonts w:cs="Arial"/>
          <w:b/>
          <w:sz w:val="20"/>
          <w:szCs w:val="20"/>
        </w:rPr>
        <w:t>Implementation of TOT services for Business Support Center trainers by international expert</w:t>
      </w:r>
      <w:r w:rsidR="0086656E">
        <w:rPr>
          <w:rFonts w:cs="Arial"/>
          <w:b/>
          <w:sz w:val="20"/>
          <w:szCs w:val="20"/>
        </w:rPr>
        <w:t>.</w:t>
      </w:r>
      <w:r w:rsidR="0086656E" w:rsidRPr="0086656E">
        <w:rPr>
          <w:rFonts w:cs="Arial"/>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6C44A557"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18ED68B5"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55E7EBBF"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00D810A3" w14:textId="66D6B4EE"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proposal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candidates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4DC87A09"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complete and submit the following documents with his proposal</w:t>
      </w:r>
      <w:r w:rsidR="007B2AB9">
        <w:rPr>
          <w:rFonts w:cs="Arial"/>
          <w:sz w:val="20"/>
          <w:szCs w:val="20"/>
          <w:lang w:val="en-GB" w:bidi="ar-SA"/>
        </w:rPr>
        <w:t xml:space="preserve"> (Please note:</w:t>
      </w:r>
      <w:r w:rsidR="007B2AB9" w:rsidRPr="007B2AB9">
        <w:t xml:space="preserve"> </w:t>
      </w:r>
      <w:r w:rsidR="007B2AB9" w:rsidRPr="007B2AB9">
        <w:rPr>
          <w:rFonts w:cs="Arial"/>
          <w:sz w:val="20"/>
          <w:szCs w:val="20"/>
          <w:lang w:val="en-GB" w:bidi="ar-SA"/>
        </w:rPr>
        <w:t>The stamp can be omitted in case of Private Entrepreneurs</w:t>
      </w:r>
      <w:r w:rsidR="00CF68AB">
        <w:rPr>
          <w:rFonts w:cs="Arial"/>
          <w:sz w:val="20"/>
          <w:szCs w:val="20"/>
          <w:lang w:val="en-GB" w:bidi="ar-SA"/>
        </w:rPr>
        <w:t>, if it is not required by the local regulations</w:t>
      </w:r>
      <w:r w:rsidR="007B2AB9">
        <w:rPr>
          <w:rFonts w:cs="Arial"/>
          <w:sz w:val="20"/>
          <w:szCs w:val="20"/>
          <w:lang w:val="en-GB" w:bidi="ar-SA"/>
        </w:rPr>
        <w:t>)</w:t>
      </w:r>
      <w:r w:rsidRPr="004F4299">
        <w:rPr>
          <w:rFonts w:cs="Arial"/>
          <w:sz w:val="20"/>
          <w:szCs w:val="20"/>
          <w:lang w:val="en-GB" w:bidi="ar-SA"/>
        </w:rPr>
        <w:t xml:space="preserve">: </w:t>
      </w:r>
    </w:p>
    <w:p w14:paraId="70B9EC3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An updated CV of team leader or a company profile along with CVs of engaged experts</w:t>
      </w:r>
    </w:p>
    <w:p w14:paraId="27A8EAA1"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Portfolio of completed assignments related to the ToR subject</w:t>
      </w:r>
    </w:p>
    <w:p w14:paraId="163DEFB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 xml:space="preserve">Training product description, methodology and approach, activity plan </w:t>
      </w:r>
    </w:p>
    <w:p w14:paraId="673D888E" w14:textId="72D2F096"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r w:rsidR="007B2AB9">
        <w:rPr>
          <w:rFonts w:ascii="Calibri" w:eastAsia="Times New Roman" w:hAnsi="Calibri" w:cs="Calibri"/>
          <w:color w:val="000000"/>
          <w:sz w:val="20"/>
          <w:szCs w:val="20"/>
          <w:lang w:val="en-GB" w:eastAsia="en-GB" w:bidi="ar-SA"/>
        </w:rPr>
        <w:t xml:space="preserve">. </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6BBA0EE1"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5BD9C818" w14:textId="77777777" w:rsidR="007B2AB9" w:rsidRPr="004F4299" w:rsidRDefault="007B2AB9" w:rsidP="004F4299">
      <w:pPr>
        <w:widowControl/>
        <w:autoSpaceDE w:val="0"/>
        <w:autoSpaceDN w:val="0"/>
        <w:adjustRightInd w:val="0"/>
        <w:spacing w:before="0" w:after="120" w:line="276" w:lineRule="auto"/>
        <w:textboxTightWrap w:val="none"/>
        <w:rPr>
          <w:rFonts w:cs="Arial"/>
          <w:sz w:val="20"/>
          <w:szCs w:val="20"/>
          <w:lang w:val="en-GB" w:bidi="ar-SA"/>
        </w:rPr>
      </w:pP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205177">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4E9A82A6" w:rsidR="00A454E6" w:rsidRPr="00205177"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00EA69DC">
        <w:rPr>
          <w:rFonts w:cstheme="minorHAnsi"/>
          <w:sz w:val="20"/>
        </w:rPr>
        <w:t>stamatovic</w:t>
      </w:r>
      <w:r w:rsidRPr="00AF2C4F">
        <w:rPr>
          <w:rFonts w:cstheme="minorHAnsi"/>
          <w:sz w:val="20"/>
        </w:rPr>
        <w:t>@help-</w:t>
      </w:r>
      <w:r w:rsidR="00EA69DC">
        <w:rPr>
          <w:rFonts w:cstheme="minorHAnsi"/>
          <w:sz w:val="20"/>
        </w:rPr>
        <w:t>ev.de</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997CB2">
        <w:rPr>
          <w:rFonts w:cs="Arial"/>
          <w:sz w:val="20"/>
          <w:szCs w:val="20"/>
          <w:lang w:val="en-GB"/>
        </w:rPr>
        <w:t>1</w:t>
      </w:r>
      <w:r w:rsidR="0086656E">
        <w:rPr>
          <w:rFonts w:cs="Arial"/>
          <w:sz w:val="20"/>
          <w:szCs w:val="20"/>
          <w:lang w:val="en-GB"/>
        </w:rPr>
        <w:t>4</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4469ABBB"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sidR="00D25112">
        <w:rPr>
          <w:rFonts w:cs="Arial"/>
          <w:sz w:val="20"/>
          <w:szCs w:val="20"/>
          <w:lang w:val="en-GB" w:bidi="ar-SA"/>
        </w:rPr>
        <w:t xml:space="preserve"> by post or courier</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45E84778" w:rsidR="00364EDD" w:rsidRPr="009F0433" w:rsidRDefault="00CE291D" w:rsidP="00364EDD">
      <w:pPr>
        <w:spacing w:line="276" w:lineRule="auto"/>
        <w:rPr>
          <w:rFonts w:cs="Arial"/>
          <w:sz w:val="20"/>
          <w:szCs w:val="20"/>
          <w:lang w:val="en-GB" w:bidi="ar-SA"/>
        </w:rPr>
      </w:pPr>
      <w:r w:rsidRPr="009F0433">
        <w:rPr>
          <w:rFonts w:cs="Arial"/>
          <w:sz w:val="20"/>
          <w:szCs w:val="20"/>
          <w:lang w:val="hy-AM" w:bidi="ar-SA"/>
        </w:rPr>
        <w:t xml:space="preserve">6, </w:t>
      </w:r>
      <w:r w:rsidRPr="009F0433">
        <w:rPr>
          <w:rFonts w:cs="Arial"/>
          <w:sz w:val="20"/>
          <w:szCs w:val="20"/>
          <w:lang w:bidi="ar-SA"/>
        </w:rPr>
        <w:t>Yekmalyan str.,</w:t>
      </w:r>
    </w:p>
    <w:p w14:paraId="6961EF7D" w14:textId="5918AA96" w:rsidR="00A454E6" w:rsidRPr="00364EDD" w:rsidRDefault="00205177" w:rsidP="00364EDD">
      <w:pPr>
        <w:widowControl/>
        <w:autoSpaceDE w:val="0"/>
        <w:autoSpaceDN w:val="0"/>
        <w:adjustRightInd w:val="0"/>
        <w:spacing w:before="0" w:line="276" w:lineRule="auto"/>
        <w:textboxTightWrap w:val="none"/>
        <w:rPr>
          <w:rFonts w:cs="Arial"/>
          <w:sz w:val="20"/>
          <w:szCs w:val="20"/>
          <w:lang w:val="en-GB" w:bidi="ar-SA"/>
        </w:rPr>
      </w:pPr>
      <w:r w:rsidRPr="009F0433">
        <w:rPr>
          <w:rFonts w:cs="Arial"/>
          <w:sz w:val="20"/>
          <w:szCs w:val="20"/>
          <w:lang w:val="en-GB" w:bidi="ar-SA"/>
        </w:rPr>
        <w:t xml:space="preserve">0002, </w:t>
      </w:r>
      <w:r w:rsidR="00364EDD" w:rsidRPr="009F0433">
        <w:rPr>
          <w:rFonts w:cs="Arial"/>
          <w:sz w:val="20"/>
          <w:szCs w:val="20"/>
          <w:lang w:val="en-GB" w:bidi="ar-SA"/>
        </w:rPr>
        <w:t>Yerevan, Armenia</w:t>
      </w:r>
      <w:r w:rsidR="00364EDD" w:rsidRPr="00364EDD">
        <w:rPr>
          <w:rFonts w:cs="Arial"/>
          <w:sz w:val="20"/>
          <w:szCs w:val="20"/>
          <w:lang w:val="en-GB" w:bidi="ar-SA"/>
        </w:rPr>
        <w:t xml:space="preserve">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Language as required?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7DED357E" w:rsidR="0066756D" w:rsidRPr="00493040" w:rsidRDefault="00016BF6" w:rsidP="00016BF6">
            <w:pPr>
              <w:widowControl/>
              <w:spacing w:before="60" w:after="60" w:line="240" w:lineRule="auto"/>
              <w:textAlignment w:val="baseline"/>
              <w:textboxTightWrap w:val="none"/>
              <w:rPr>
                <w:rFonts w:cs="Arial"/>
                <w:snapToGrid w:val="0"/>
                <w:sz w:val="20"/>
                <w:szCs w:val="20"/>
                <w:highlight w:val="green"/>
                <w:lang w:val="en-GB"/>
              </w:rPr>
            </w:pPr>
            <w:r w:rsidRPr="00BC045D">
              <w:rPr>
                <w:rFonts w:ascii="Calibri" w:hAnsi="Calibri"/>
                <w:sz w:val="20"/>
                <w:szCs w:val="20"/>
              </w:rPr>
              <w:t>An updated CV of team leader or a company profile along with CVs of engaged experts</w:t>
            </w:r>
            <w:r w:rsidR="009A45F8">
              <w:rPr>
                <w:rFonts w:ascii="Calibri" w:hAnsi="Calibri"/>
                <w:sz w:val="20"/>
                <w:szCs w:val="20"/>
              </w:rPr>
              <w:t xml:space="preserve"> attached</w:t>
            </w:r>
            <w:r w:rsidR="0066756D" w:rsidRPr="00F25527">
              <w:rPr>
                <w:rFonts w:cs="Arial"/>
                <w:snapToGrid w:val="0"/>
                <w:sz w:val="20"/>
                <w:szCs w:val="20"/>
                <w:lang w:val="en-GB"/>
              </w:rPr>
              <w:t>?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66756D" w:rsidRPr="006F04BF" w14:paraId="22183A7D" w14:textId="77777777" w:rsidTr="004A6682">
        <w:trPr>
          <w:jc w:val="center"/>
        </w:trPr>
        <w:tc>
          <w:tcPr>
            <w:tcW w:w="279" w:type="dxa"/>
          </w:tcPr>
          <w:p w14:paraId="52F3E76A" w14:textId="47EB31F6"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7</w:t>
            </w:r>
          </w:p>
        </w:tc>
        <w:tc>
          <w:tcPr>
            <w:tcW w:w="5812" w:type="dxa"/>
          </w:tcPr>
          <w:p w14:paraId="7201A120" w14:textId="203E3644" w:rsidR="0066756D" w:rsidRPr="00493040" w:rsidRDefault="009A45F8" w:rsidP="0066756D">
            <w:pPr>
              <w:spacing w:before="0" w:line="240" w:lineRule="auto"/>
              <w:jc w:val="left"/>
              <w:rPr>
                <w:rFonts w:cs="Arial"/>
                <w:snapToGrid w:val="0"/>
                <w:sz w:val="20"/>
                <w:szCs w:val="20"/>
                <w:highlight w:val="green"/>
                <w:lang w:val="en-GB"/>
              </w:rPr>
            </w:pPr>
            <w:r w:rsidRPr="009A45F8">
              <w:rPr>
                <w:rFonts w:cs="Arial"/>
                <w:snapToGrid w:val="0"/>
                <w:sz w:val="20"/>
                <w:szCs w:val="20"/>
                <w:lang w:val="en-GB"/>
              </w:rPr>
              <w:t>Portfolio of completed assignments related to the ToR subject</w:t>
            </w:r>
            <w:r>
              <w:rPr>
                <w:rFonts w:cs="Arial"/>
                <w:snapToGrid w:val="0"/>
                <w:sz w:val="20"/>
                <w:szCs w:val="20"/>
                <w:lang w:val="en-GB"/>
              </w:rPr>
              <w:t xml:space="preserve"> </w:t>
            </w:r>
            <w:r w:rsidR="0066756D">
              <w:rPr>
                <w:rFonts w:cs="Arial"/>
                <w:snapToGrid w:val="0"/>
                <w:sz w:val="20"/>
                <w:szCs w:val="20"/>
                <w:lang w:val="en-GB"/>
              </w:rPr>
              <w:t>attached</w:t>
            </w:r>
            <w:r>
              <w:rPr>
                <w:rFonts w:cs="Arial"/>
                <w:snapToGrid w:val="0"/>
                <w:sz w:val="20"/>
                <w:szCs w:val="20"/>
                <w:lang w:val="en-GB"/>
              </w:rPr>
              <w:t>?</w:t>
            </w:r>
            <w:r w:rsidR="0066756D">
              <w:rPr>
                <w:rFonts w:cs="Arial"/>
                <w:snapToGrid w:val="0"/>
                <w:sz w:val="20"/>
                <w:szCs w:val="20"/>
                <w:lang w:val="en-GB"/>
              </w:rPr>
              <w:t xml:space="preserve"> (Yes/No)</w:t>
            </w:r>
          </w:p>
        </w:tc>
        <w:tc>
          <w:tcPr>
            <w:tcW w:w="780" w:type="dxa"/>
          </w:tcPr>
          <w:p w14:paraId="438F3DB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94051E7"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392E761"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15C353A0"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16BDD5F" w14:textId="77777777" w:rsidR="0066756D" w:rsidRPr="006F04BF" w:rsidRDefault="0066756D" w:rsidP="0066756D">
            <w:pPr>
              <w:spacing w:before="0" w:line="240" w:lineRule="auto"/>
              <w:jc w:val="center"/>
              <w:rPr>
                <w:rFonts w:cs="Arial"/>
                <w:snapToGrid w:val="0"/>
                <w:sz w:val="20"/>
                <w:szCs w:val="20"/>
                <w:lang w:val="en-GB"/>
              </w:rPr>
            </w:pPr>
          </w:p>
        </w:tc>
      </w:tr>
      <w:tr w:rsidR="002B60E5" w:rsidRPr="006F04BF" w14:paraId="22585B3E" w14:textId="77777777" w:rsidTr="004A6682">
        <w:trPr>
          <w:jc w:val="center"/>
        </w:trPr>
        <w:tc>
          <w:tcPr>
            <w:tcW w:w="279" w:type="dxa"/>
          </w:tcPr>
          <w:p w14:paraId="4DEFE0B5" w14:textId="32B13157" w:rsidR="002B60E5" w:rsidRDefault="002B60E5" w:rsidP="0066756D">
            <w:pPr>
              <w:spacing w:before="0" w:line="240" w:lineRule="auto"/>
              <w:rPr>
                <w:rFonts w:cs="Arial"/>
                <w:snapToGrid w:val="0"/>
                <w:sz w:val="20"/>
                <w:szCs w:val="20"/>
                <w:lang w:val="en-GB"/>
              </w:rPr>
            </w:pPr>
            <w:r>
              <w:rPr>
                <w:rFonts w:cs="Arial"/>
                <w:snapToGrid w:val="0"/>
                <w:sz w:val="20"/>
                <w:szCs w:val="20"/>
                <w:lang w:val="en-GB"/>
              </w:rPr>
              <w:t>8</w:t>
            </w:r>
          </w:p>
        </w:tc>
        <w:tc>
          <w:tcPr>
            <w:tcW w:w="5812" w:type="dxa"/>
          </w:tcPr>
          <w:p w14:paraId="068C62E3" w14:textId="24E4BB06" w:rsidR="002B60E5" w:rsidRDefault="009A45F8" w:rsidP="009A45F8">
            <w:pPr>
              <w:widowControl/>
              <w:spacing w:before="60" w:after="60" w:line="240" w:lineRule="auto"/>
              <w:textAlignment w:val="baseline"/>
              <w:textboxTightWrap w:val="none"/>
              <w:rPr>
                <w:rFonts w:cs="Arial"/>
                <w:snapToGrid w:val="0"/>
                <w:sz w:val="20"/>
                <w:szCs w:val="20"/>
                <w:lang w:val="en-GB"/>
              </w:rPr>
            </w:pPr>
            <w:r w:rsidRPr="00BC045D">
              <w:rPr>
                <w:rFonts w:ascii="Calibri" w:hAnsi="Calibri"/>
                <w:sz w:val="20"/>
                <w:szCs w:val="20"/>
              </w:rPr>
              <w:t xml:space="preserve">Training product description, methodology and approach, activity plan </w:t>
            </w:r>
            <w:r>
              <w:rPr>
                <w:rFonts w:ascii="Calibri" w:hAnsi="Calibri"/>
                <w:sz w:val="20"/>
                <w:szCs w:val="20"/>
              </w:rPr>
              <w:t>a</w:t>
            </w:r>
            <w:r w:rsidR="002B60E5">
              <w:rPr>
                <w:rFonts w:cs="Arial"/>
                <w:snapToGrid w:val="0"/>
                <w:sz w:val="20"/>
                <w:szCs w:val="20"/>
                <w:lang w:val="en-GB"/>
              </w:rPr>
              <w:t>ttached</w:t>
            </w:r>
            <w:r>
              <w:rPr>
                <w:rFonts w:cs="Arial"/>
                <w:snapToGrid w:val="0"/>
                <w:sz w:val="20"/>
                <w:szCs w:val="20"/>
                <w:lang w:val="en-GB"/>
              </w:rPr>
              <w:t>?</w:t>
            </w:r>
            <w:r w:rsidR="002B60E5">
              <w:rPr>
                <w:rFonts w:cs="Arial"/>
                <w:snapToGrid w:val="0"/>
                <w:sz w:val="20"/>
                <w:szCs w:val="20"/>
                <w:lang w:val="en-GB"/>
              </w:rPr>
              <w:t xml:space="preserve"> (Yes/No)</w:t>
            </w:r>
          </w:p>
        </w:tc>
        <w:tc>
          <w:tcPr>
            <w:tcW w:w="780" w:type="dxa"/>
          </w:tcPr>
          <w:p w14:paraId="52BA5DDA"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52AF67A9" w14:textId="77777777" w:rsidR="002B60E5" w:rsidRPr="006F04BF" w:rsidRDefault="002B60E5" w:rsidP="0066756D">
            <w:pPr>
              <w:spacing w:before="0" w:line="240" w:lineRule="auto"/>
              <w:jc w:val="center"/>
              <w:rPr>
                <w:rFonts w:cs="Arial"/>
                <w:snapToGrid w:val="0"/>
                <w:sz w:val="20"/>
                <w:szCs w:val="20"/>
                <w:lang w:val="en-GB"/>
              </w:rPr>
            </w:pPr>
          </w:p>
        </w:tc>
        <w:tc>
          <w:tcPr>
            <w:tcW w:w="720" w:type="dxa"/>
          </w:tcPr>
          <w:p w14:paraId="2E2894B7"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65DDED8C"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0DEEEF20" w14:textId="77777777" w:rsidR="002B60E5" w:rsidRPr="006F04BF" w:rsidRDefault="002B60E5"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5B121252" w14:textId="77777777" w:rsidR="009C7AE5" w:rsidRDefault="009C7AE5" w:rsidP="00CD0EF9">
      <w:pPr>
        <w:widowControl/>
        <w:autoSpaceDE w:val="0"/>
        <w:autoSpaceDN w:val="0"/>
        <w:adjustRightInd w:val="0"/>
        <w:spacing w:line="276" w:lineRule="auto"/>
        <w:textboxTightWrap w:val="none"/>
        <w:rPr>
          <w:rFonts w:cs="Arial"/>
          <w:b/>
          <w:sz w:val="20"/>
          <w:szCs w:val="20"/>
          <w:lang w:val="en-GB" w:bidi="ar-SA"/>
        </w:rPr>
      </w:pPr>
    </w:p>
    <w:p w14:paraId="74816B89" w14:textId="72E8765F" w:rsidR="00CD0EF9" w:rsidRPr="00CD0EF9" w:rsidRDefault="00CD0EF9" w:rsidP="00CD0EF9">
      <w:pPr>
        <w:widowControl/>
        <w:autoSpaceDE w:val="0"/>
        <w:autoSpaceDN w:val="0"/>
        <w:adjustRightInd w:val="0"/>
        <w:spacing w:line="276" w:lineRule="auto"/>
        <w:textboxTightWrap w:val="none"/>
        <w:rPr>
          <w:rFonts w:cs="Arial"/>
          <w:b/>
          <w:sz w:val="20"/>
          <w:szCs w:val="20"/>
          <w:lang w:val="en-GB" w:bidi="ar-SA"/>
        </w:rPr>
      </w:pPr>
      <w:r w:rsidRPr="00CD0EF9">
        <w:rPr>
          <w:rFonts w:cs="Arial"/>
          <w:b/>
          <w:sz w:val="20"/>
          <w:szCs w:val="20"/>
          <w:lang w:val="en-GB" w:bidi="ar-SA"/>
        </w:rPr>
        <w:lastRenderedPageBreak/>
        <w:t>Technical and financial evaluation</w:t>
      </w:r>
    </w:p>
    <w:p w14:paraId="3C978A4E" w14:textId="03DC7EA5" w:rsidR="0062541F" w:rsidRPr="004F4299"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evaluation method will be the quality and </w:t>
      </w:r>
      <w:r w:rsidR="000A1294" w:rsidRPr="004F4299">
        <w:rPr>
          <w:rFonts w:cs="Arial"/>
          <w:sz w:val="20"/>
          <w:szCs w:val="20"/>
          <w:lang w:val="en-GB" w:bidi="ar-SA"/>
        </w:rPr>
        <w:t>cost-based</w:t>
      </w:r>
      <w:r w:rsidRPr="004F4299">
        <w:rPr>
          <w:rFonts w:cs="Arial"/>
          <w:sz w:val="20"/>
          <w:szCs w:val="20"/>
          <w:lang w:val="en-GB" w:bidi="ar-SA"/>
        </w:rPr>
        <w:t xml:space="preserve"> selection. A two-stage procedure shall be utilised in evaluating the Proposals; a technical evaluation and a financial evaluation. </w:t>
      </w:r>
    </w:p>
    <w:p w14:paraId="1CA1A031"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will be ranked according to their combined technical (St) and financial (Sf) scores using the weights of </w:t>
      </w:r>
      <w:r>
        <w:rPr>
          <w:rFonts w:cs="Arial"/>
          <w:sz w:val="20"/>
          <w:szCs w:val="20"/>
          <w:lang w:val="en-GB" w:bidi="ar-SA"/>
        </w:rPr>
        <w:t>40%</w:t>
      </w:r>
      <w:r w:rsidRPr="004F4299">
        <w:rPr>
          <w:rFonts w:cs="Arial"/>
          <w:sz w:val="20"/>
          <w:szCs w:val="20"/>
          <w:lang w:val="en-GB" w:bidi="ar-SA"/>
        </w:rPr>
        <w:t xml:space="preserve"> for the Technical Proposal; and </w:t>
      </w:r>
      <w:r>
        <w:rPr>
          <w:rFonts w:cs="Arial"/>
          <w:sz w:val="20"/>
          <w:szCs w:val="20"/>
          <w:lang w:val="en-GB" w:bidi="ar-SA"/>
        </w:rPr>
        <w:t>60%</w:t>
      </w:r>
      <w:r w:rsidRPr="004F4299">
        <w:rPr>
          <w:rFonts w:cs="Arial"/>
          <w:sz w:val="20"/>
          <w:szCs w:val="20"/>
          <w:lang w:val="en-GB" w:bidi="ar-SA"/>
        </w:rPr>
        <w:t xml:space="preserve"> for the offered price. Each proposal’s overall score shall therefore be: St X </w:t>
      </w:r>
      <w:r>
        <w:rPr>
          <w:rFonts w:cs="Arial"/>
          <w:sz w:val="20"/>
          <w:szCs w:val="20"/>
          <w:lang w:val="en-GB" w:bidi="ar-SA"/>
        </w:rPr>
        <w:t>40%</w:t>
      </w:r>
      <w:r w:rsidRPr="004F4299">
        <w:rPr>
          <w:rFonts w:cs="Arial"/>
          <w:sz w:val="20"/>
          <w:szCs w:val="20"/>
          <w:lang w:val="en-GB" w:bidi="ar-SA"/>
        </w:rPr>
        <w:t xml:space="preserve"> + Sf X and </w:t>
      </w:r>
      <w:r>
        <w:rPr>
          <w:rFonts w:cs="Arial"/>
          <w:sz w:val="20"/>
          <w:szCs w:val="20"/>
          <w:lang w:val="en-GB" w:bidi="ar-SA"/>
        </w:rPr>
        <w:t>60%.</w:t>
      </w:r>
    </w:p>
    <w:p w14:paraId="37E2834A"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Technical evaluation</w:t>
      </w:r>
    </w:p>
    <w:p w14:paraId="5E18F998"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For the evaluation of the technical proposals, the Contracting Authority shall take the following criteria into consideration, with the indicated weights:</w:t>
      </w:r>
      <w:r>
        <w:rPr>
          <w:rFonts w:cs="Arial"/>
          <w:sz w:val="20"/>
          <w:szCs w:val="20"/>
          <w:lang w:val="en-GB" w:bidi="ar-SA"/>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702"/>
        <w:gridCol w:w="1260"/>
        <w:gridCol w:w="630"/>
        <w:gridCol w:w="630"/>
        <w:gridCol w:w="720"/>
        <w:gridCol w:w="630"/>
        <w:gridCol w:w="630"/>
      </w:tblGrid>
      <w:tr w:rsidR="00AC65CA" w:rsidRPr="00C532D4" w14:paraId="05857DC0" w14:textId="77777777" w:rsidTr="009A4D6B">
        <w:trPr>
          <w:cantSplit/>
          <w:jc w:val="center"/>
        </w:trPr>
        <w:tc>
          <w:tcPr>
            <w:tcW w:w="4981" w:type="dxa"/>
            <w:gridSpan w:val="2"/>
            <w:vMerge w:val="restart"/>
          </w:tcPr>
          <w:p w14:paraId="1E2E85F7" w14:textId="77777777" w:rsidR="00AC65CA" w:rsidRPr="00C532D4" w:rsidRDefault="00AC65CA" w:rsidP="00AC65CA">
            <w:pPr>
              <w:spacing w:before="0" w:line="240" w:lineRule="auto"/>
              <w:rPr>
                <w:rFonts w:cs="Arial"/>
                <w:b/>
                <w:snapToGrid w:val="0"/>
                <w:sz w:val="20"/>
                <w:szCs w:val="20"/>
                <w:lang w:val="en-GB"/>
              </w:rPr>
            </w:pPr>
            <w:r w:rsidRPr="00C532D4">
              <w:rPr>
                <w:rFonts w:cs="Arial"/>
                <w:b/>
                <w:snapToGrid w:val="0"/>
                <w:sz w:val="20"/>
                <w:szCs w:val="20"/>
                <w:lang w:val="en-GB"/>
              </w:rPr>
              <w:t>Technical evaluation</w:t>
            </w:r>
          </w:p>
        </w:tc>
        <w:tc>
          <w:tcPr>
            <w:tcW w:w="1260" w:type="dxa"/>
            <w:vMerge w:val="restart"/>
          </w:tcPr>
          <w:p w14:paraId="79D61E02"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 xml:space="preserve">Maximum Points </w:t>
            </w:r>
          </w:p>
        </w:tc>
        <w:tc>
          <w:tcPr>
            <w:tcW w:w="3240" w:type="dxa"/>
            <w:gridSpan w:val="5"/>
          </w:tcPr>
          <w:p w14:paraId="264A254B"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C65CA" w:rsidRPr="006F04BF" w14:paraId="31D04D11" w14:textId="77777777" w:rsidTr="009A4D6B">
        <w:trPr>
          <w:cantSplit/>
          <w:jc w:val="center"/>
        </w:trPr>
        <w:tc>
          <w:tcPr>
            <w:tcW w:w="4981" w:type="dxa"/>
            <w:gridSpan w:val="2"/>
            <w:vMerge/>
            <w:tcBorders>
              <w:bottom w:val="nil"/>
            </w:tcBorders>
          </w:tcPr>
          <w:p w14:paraId="6D35D782" w14:textId="77777777" w:rsidR="00AC65CA" w:rsidRPr="006F04BF" w:rsidRDefault="00AC65CA" w:rsidP="00AC65CA">
            <w:pPr>
              <w:spacing w:before="0" w:line="240" w:lineRule="auto"/>
              <w:rPr>
                <w:rFonts w:cs="Arial"/>
                <w:snapToGrid w:val="0"/>
                <w:sz w:val="20"/>
                <w:szCs w:val="20"/>
                <w:lang w:val="en-GB"/>
              </w:rPr>
            </w:pPr>
          </w:p>
        </w:tc>
        <w:tc>
          <w:tcPr>
            <w:tcW w:w="1260" w:type="dxa"/>
            <w:vMerge/>
            <w:tcBorders>
              <w:bottom w:val="nil"/>
            </w:tcBorders>
          </w:tcPr>
          <w:p w14:paraId="45998F3C"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bottom w:val="nil"/>
            </w:tcBorders>
          </w:tcPr>
          <w:p w14:paraId="2F18D820"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6728099B"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0605722D"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9F9ED49"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2410C131"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C65CA" w:rsidRPr="006F04BF" w14:paraId="1106AFF0" w14:textId="77777777" w:rsidTr="009A4D6B">
        <w:trPr>
          <w:cantSplit/>
          <w:jc w:val="center"/>
        </w:trPr>
        <w:tc>
          <w:tcPr>
            <w:tcW w:w="9481" w:type="dxa"/>
            <w:gridSpan w:val="8"/>
            <w:shd w:val="pct15" w:color="auto" w:fill="FFFFFF"/>
          </w:tcPr>
          <w:p w14:paraId="1F295DF8" w14:textId="77777777" w:rsidR="00AC65CA" w:rsidRPr="006F04BF" w:rsidRDefault="00AC65CA" w:rsidP="00C532D4">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C65CA" w:rsidRPr="006F04BF" w14:paraId="146F706A" w14:textId="77777777" w:rsidTr="009A4D6B">
        <w:trPr>
          <w:jc w:val="center"/>
        </w:trPr>
        <w:tc>
          <w:tcPr>
            <w:tcW w:w="279" w:type="dxa"/>
          </w:tcPr>
          <w:p w14:paraId="113CA87E" w14:textId="3DD7B9C3"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1</w:t>
            </w:r>
          </w:p>
        </w:tc>
        <w:tc>
          <w:tcPr>
            <w:tcW w:w="4702" w:type="dxa"/>
          </w:tcPr>
          <w:p w14:paraId="5F18911C" w14:textId="40D6D006" w:rsidR="00AC65CA" w:rsidRPr="00770766" w:rsidRDefault="00CB67E4" w:rsidP="00816794">
            <w:pPr>
              <w:widowControl/>
              <w:spacing w:before="0" w:line="240" w:lineRule="auto"/>
              <w:rPr>
                <w:sz w:val="20"/>
                <w:szCs w:val="20"/>
              </w:rPr>
            </w:pPr>
            <w:r w:rsidRPr="00770766">
              <w:rPr>
                <w:rFonts w:cs="Arial"/>
                <w:snapToGrid w:val="0"/>
                <w:sz w:val="20"/>
                <w:szCs w:val="20"/>
                <w:lang w:val="en-GB"/>
              </w:rPr>
              <w:t xml:space="preserve">Candidates </w:t>
            </w:r>
            <w:r w:rsidR="009C7AE5">
              <w:rPr>
                <w:rFonts w:cs="Arial"/>
                <w:snapToGrid w:val="0"/>
                <w:sz w:val="20"/>
                <w:szCs w:val="20"/>
                <w:lang w:val="en-GB"/>
              </w:rPr>
              <w:t>e</w:t>
            </w:r>
            <w:r w:rsidR="009C7AE5" w:rsidRPr="009C7AE5">
              <w:rPr>
                <w:rFonts w:cs="Arial"/>
                <w:snapToGrid w:val="0"/>
                <w:sz w:val="20"/>
                <w:szCs w:val="20"/>
                <w:lang w:val="en-GB"/>
              </w:rPr>
              <w:t>xtensive experience in education products design and methodology development</w:t>
            </w:r>
            <w:r w:rsidR="002B60E5" w:rsidRPr="00770766">
              <w:rPr>
                <w:rFonts w:cs="Arial"/>
                <w:snapToGrid w:val="0"/>
                <w:sz w:val="20"/>
                <w:szCs w:val="20"/>
                <w:lang w:val="en-GB"/>
              </w:rPr>
              <w:t xml:space="preserve"> </w:t>
            </w:r>
            <w:r w:rsidRPr="00770766">
              <w:rPr>
                <w:rFonts w:cs="Arial"/>
                <w:snapToGrid w:val="0"/>
                <w:sz w:val="20"/>
                <w:szCs w:val="20"/>
                <w:lang w:val="en-GB"/>
              </w:rPr>
              <w:t>(</w:t>
            </w:r>
            <w:r w:rsidR="00D25112" w:rsidRPr="00770766">
              <w:rPr>
                <w:rFonts w:cs="Arial"/>
                <w:snapToGrid w:val="0"/>
                <w:sz w:val="20"/>
                <w:szCs w:val="20"/>
                <w:lang w:val="en-GB"/>
              </w:rPr>
              <w:t>5</w:t>
            </w:r>
            <w:r w:rsidRPr="00770766">
              <w:rPr>
                <w:rFonts w:cs="Arial"/>
                <w:snapToGrid w:val="0"/>
                <w:sz w:val="20"/>
                <w:szCs w:val="20"/>
                <w:lang w:val="en-GB"/>
              </w:rPr>
              <w:t xml:space="preserve"> points per year of experience, at least </w:t>
            </w:r>
            <w:r w:rsidR="00580D8B" w:rsidRPr="00770766">
              <w:rPr>
                <w:rFonts w:cs="Arial"/>
                <w:snapToGrid w:val="0"/>
                <w:sz w:val="20"/>
                <w:szCs w:val="20"/>
                <w:lang w:val="en-GB"/>
              </w:rPr>
              <w:t>3</w:t>
            </w:r>
            <w:r w:rsidRPr="00770766">
              <w:rPr>
                <w:rFonts w:cs="Arial"/>
                <w:snapToGrid w:val="0"/>
                <w:sz w:val="20"/>
                <w:szCs w:val="20"/>
                <w:lang w:val="en-GB"/>
              </w:rPr>
              <w:t xml:space="preserve"> years required for offer</w:t>
            </w:r>
            <w:r w:rsidR="00196B30" w:rsidRPr="00770766">
              <w:rPr>
                <w:rFonts w:cs="Arial"/>
                <w:snapToGrid w:val="0"/>
                <w:sz w:val="20"/>
                <w:szCs w:val="20"/>
                <w:lang w:val="en-GB"/>
              </w:rPr>
              <w:t xml:space="preserve"> </w:t>
            </w:r>
            <w:r w:rsidRPr="00770766">
              <w:rPr>
                <w:rFonts w:cs="Arial"/>
                <w:snapToGrid w:val="0"/>
                <w:sz w:val="20"/>
                <w:szCs w:val="20"/>
                <w:lang w:val="en-GB"/>
              </w:rPr>
              <w:t>evaluation)</w:t>
            </w:r>
          </w:p>
        </w:tc>
        <w:tc>
          <w:tcPr>
            <w:tcW w:w="1260" w:type="dxa"/>
            <w:tcBorders>
              <w:bottom w:val="nil"/>
            </w:tcBorders>
          </w:tcPr>
          <w:p w14:paraId="4C83C6DF" w14:textId="75D513D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2</w:t>
            </w:r>
            <w:r w:rsidR="00380DFD">
              <w:rPr>
                <w:rFonts w:cs="Arial"/>
                <w:snapToGrid w:val="0"/>
                <w:sz w:val="20"/>
                <w:szCs w:val="20"/>
                <w:lang w:val="en-GB"/>
              </w:rPr>
              <w:t>0</w:t>
            </w:r>
          </w:p>
        </w:tc>
        <w:tc>
          <w:tcPr>
            <w:tcW w:w="630" w:type="dxa"/>
          </w:tcPr>
          <w:p w14:paraId="767141D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1F78D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40E92652"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4B6FF23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20AC7E21"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455C2D29" w14:textId="77777777" w:rsidTr="009A4D6B">
        <w:trPr>
          <w:jc w:val="center"/>
        </w:trPr>
        <w:tc>
          <w:tcPr>
            <w:tcW w:w="279" w:type="dxa"/>
            <w:tcBorders>
              <w:top w:val="single" w:sz="4" w:space="0" w:color="auto"/>
            </w:tcBorders>
          </w:tcPr>
          <w:p w14:paraId="12383D5F" w14:textId="0E5ECEED"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2</w:t>
            </w:r>
          </w:p>
        </w:tc>
        <w:tc>
          <w:tcPr>
            <w:tcW w:w="4702" w:type="dxa"/>
            <w:tcBorders>
              <w:top w:val="single" w:sz="4" w:space="0" w:color="auto"/>
            </w:tcBorders>
          </w:tcPr>
          <w:p w14:paraId="12971518" w14:textId="31BCAA83" w:rsidR="00AC65CA" w:rsidRPr="00770766" w:rsidRDefault="00EE7531" w:rsidP="00052ECB">
            <w:pPr>
              <w:widowControl/>
              <w:spacing w:before="60" w:after="60" w:line="240" w:lineRule="auto"/>
              <w:textboxTightWrap w:val="none"/>
              <w:rPr>
                <w:rFonts w:cs="Arial"/>
                <w:snapToGrid w:val="0"/>
                <w:sz w:val="20"/>
                <w:szCs w:val="20"/>
                <w:lang w:val="en-GB"/>
              </w:rPr>
            </w:pPr>
            <w:r w:rsidRPr="00770766">
              <w:rPr>
                <w:rFonts w:cs="Arial"/>
                <w:sz w:val="20"/>
                <w:szCs w:val="20"/>
              </w:rPr>
              <w:t xml:space="preserve">Proven experience </w:t>
            </w:r>
            <w:r w:rsidR="006C1B92" w:rsidRPr="006C1B92">
              <w:rPr>
                <w:rFonts w:cs="Arial"/>
                <w:sz w:val="20"/>
                <w:szCs w:val="20"/>
              </w:rPr>
              <w:t xml:space="preserve">in training conduction, especially for ICT specialists </w:t>
            </w:r>
            <w:r w:rsidR="00052ECB" w:rsidRPr="00770766">
              <w:rPr>
                <w:rFonts w:cs="Arial"/>
                <w:sz w:val="20"/>
                <w:szCs w:val="20"/>
              </w:rPr>
              <w:t>(</w:t>
            </w:r>
            <w:r w:rsidR="00EE6607">
              <w:rPr>
                <w:rFonts w:cs="Arial"/>
                <w:sz w:val="20"/>
                <w:szCs w:val="20"/>
              </w:rPr>
              <w:t>4</w:t>
            </w:r>
            <w:r w:rsidR="00052ECB" w:rsidRPr="00770766">
              <w:rPr>
                <w:rFonts w:cs="Arial"/>
                <w:sz w:val="20"/>
                <w:szCs w:val="20"/>
              </w:rPr>
              <w:t xml:space="preserve"> points per </w:t>
            </w:r>
            <w:r w:rsidR="005F1246">
              <w:rPr>
                <w:rFonts w:cs="Arial"/>
                <w:sz w:val="20"/>
                <w:szCs w:val="20"/>
              </w:rPr>
              <w:t>conducted training</w:t>
            </w:r>
            <w:r w:rsidR="00052ECB" w:rsidRPr="00770766">
              <w:rPr>
                <w:rFonts w:cs="Arial"/>
                <w:sz w:val="20"/>
                <w:szCs w:val="20"/>
              </w:rPr>
              <w:t>)</w:t>
            </w:r>
          </w:p>
        </w:tc>
        <w:tc>
          <w:tcPr>
            <w:tcW w:w="1260" w:type="dxa"/>
            <w:tcBorders>
              <w:top w:val="single" w:sz="4" w:space="0" w:color="auto"/>
              <w:bottom w:val="nil"/>
            </w:tcBorders>
          </w:tcPr>
          <w:p w14:paraId="4910FA4F" w14:textId="45069440" w:rsidR="00AC65CA" w:rsidRPr="006F04BF" w:rsidRDefault="00553B18" w:rsidP="00AC65CA">
            <w:pPr>
              <w:spacing w:before="0" w:line="240" w:lineRule="auto"/>
              <w:jc w:val="center"/>
              <w:rPr>
                <w:rFonts w:cs="Arial"/>
                <w:snapToGrid w:val="0"/>
                <w:sz w:val="20"/>
                <w:szCs w:val="20"/>
                <w:lang w:val="en-GB"/>
              </w:rPr>
            </w:pPr>
            <w:r>
              <w:rPr>
                <w:rFonts w:cs="Arial"/>
                <w:snapToGrid w:val="0"/>
                <w:sz w:val="20"/>
                <w:szCs w:val="20"/>
                <w:lang w:val="en-GB"/>
              </w:rPr>
              <w:t>2</w:t>
            </w:r>
            <w:r w:rsidR="00A54C90">
              <w:rPr>
                <w:rFonts w:cs="Arial"/>
                <w:snapToGrid w:val="0"/>
                <w:sz w:val="20"/>
                <w:szCs w:val="20"/>
                <w:lang w:val="en-GB"/>
              </w:rPr>
              <w:t>0</w:t>
            </w:r>
          </w:p>
        </w:tc>
        <w:tc>
          <w:tcPr>
            <w:tcW w:w="630" w:type="dxa"/>
            <w:tcBorders>
              <w:top w:val="single" w:sz="4" w:space="0" w:color="auto"/>
            </w:tcBorders>
          </w:tcPr>
          <w:p w14:paraId="2B5F7235"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7AD16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1631C110"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DC84C19"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581C00EB"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178739AF" w14:textId="77777777" w:rsidTr="00196B30">
        <w:trPr>
          <w:jc w:val="center"/>
        </w:trPr>
        <w:tc>
          <w:tcPr>
            <w:tcW w:w="279" w:type="dxa"/>
          </w:tcPr>
          <w:p w14:paraId="7C3D460C" w14:textId="1B036156"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3</w:t>
            </w:r>
          </w:p>
        </w:tc>
        <w:tc>
          <w:tcPr>
            <w:tcW w:w="4702" w:type="dxa"/>
            <w:shd w:val="clear" w:color="auto" w:fill="auto"/>
          </w:tcPr>
          <w:p w14:paraId="55B5377D" w14:textId="71A3B785" w:rsidR="00AC65CA" w:rsidRPr="00493040" w:rsidRDefault="000029BD" w:rsidP="00816794">
            <w:pPr>
              <w:spacing w:before="0" w:line="240" w:lineRule="auto"/>
              <w:jc w:val="left"/>
              <w:rPr>
                <w:rFonts w:cs="Arial"/>
                <w:snapToGrid w:val="0"/>
                <w:sz w:val="20"/>
                <w:szCs w:val="20"/>
                <w:highlight w:val="green"/>
                <w:lang w:val="en-GB"/>
              </w:rPr>
            </w:pPr>
            <w:r>
              <w:rPr>
                <w:sz w:val="20"/>
                <w:szCs w:val="20"/>
              </w:rPr>
              <w:t>Evaluation of</w:t>
            </w:r>
            <w:r w:rsidR="00621A8F" w:rsidRPr="00BC045D">
              <w:rPr>
                <w:rFonts w:ascii="Calibri" w:hAnsi="Calibri"/>
                <w:sz w:val="20"/>
                <w:szCs w:val="20"/>
              </w:rPr>
              <w:t xml:space="preserve"> </w:t>
            </w:r>
            <w:r w:rsidR="00621A8F">
              <w:rPr>
                <w:rFonts w:ascii="Calibri" w:hAnsi="Calibri"/>
                <w:sz w:val="20"/>
                <w:szCs w:val="20"/>
              </w:rPr>
              <w:t>t</w:t>
            </w:r>
            <w:r w:rsidR="00621A8F" w:rsidRPr="00BC045D">
              <w:rPr>
                <w:rFonts w:ascii="Calibri" w:hAnsi="Calibri"/>
                <w:sz w:val="20"/>
                <w:szCs w:val="20"/>
              </w:rPr>
              <w:t xml:space="preserve">raining product description, </w:t>
            </w:r>
            <w:r w:rsidR="00621A8F">
              <w:rPr>
                <w:rFonts w:ascii="Calibri" w:hAnsi="Calibri"/>
                <w:sz w:val="20"/>
                <w:szCs w:val="20"/>
              </w:rPr>
              <w:t>m</w:t>
            </w:r>
            <w:r w:rsidR="00621A8F" w:rsidRPr="00BC045D">
              <w:rPr>
                <w:rFonts w:ascii="Calibri" w:hAnsi="Calibri"/>
                <w:sz w:val="20"/>
                <w:szCs w:val="20"/>
              </w:rPr>
              <w:t>ethodology and approach</w:t>
            </w:r>
          </w:p>
        </w:tc>
        <w:tc>
          <w:tcPr>
            <w:tcW w:w="1260" w:type="dxa"/>
            <w:tcBorders>
              <w:bottom w:val="single" w:sz="4" w:space="0" w:color="auto"/>
            </w:tcBorders>
          </w:tcPr>
          <w:p w14:paraId="241E9D70" w14:textId="2BC5298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6</w:t>
            </w:r>
            <w:r w:rsidR="00716B37">
              <w:rPr>
                <w:rFonts w:cs="Arial"/>
                <w:snapToGrid w:val="0"/>
                <w:sz w:val="20"/>
                <w:szCs w:val="20"/>
                <w:lang w:val="en-GB"/>
              </w:rPr>
              <w:t>0</w:t>
            </w:r>
          </w:p>
        </w:tc>
        <w:tc>
          <w:tcPr>
            <w:tcW w:w="630" w:type="dxa"/>
          </w:tcPr>
          <w:p w14:paraId="458AA229"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27BDBE1"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14AF308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1FE5E3E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51647FCA" w14:textId="77777777" w:rsidR="00AC65CA" w:rsidRPr="006F04BF" w:rsidRDefault="00AC65CA" w:rsidP="00AC65CA">
            <w:pPr>
              <w:spacing w:before="0" w:line="240" w:lineRule="auto"/>
              <w:jc w:val="center"/>
              <w:rPr>
                <w:rFonts w:cs="Arial"/>
                <w:snapToGrid w:val="0"/>
                <w:sz w:val="20"/>
                <w:szCs w:val="20"/>
                <w:lang w:val="en-GB"/>
              </w:rPr>
            </w:pPr>
          </w:p>
        </w:tc>
      </w:tr>
      <w:tr w:rsidR="00CB67E4" w:rsidRPr="006F04BF" w14:paraId="79CB606F" w14:textId="77777777" w:rsidTr="009A4D6B">
        <w:trPr>
          <w:jc w:val="center"/>
        </w:trPr>
        <w:tc>
          <w:tcPr>
            <w:tcW w:w="4981" w:type="dxa"/>
            <w:gridSpan w:val="2"/>
            <w:tcBorders>
              <w:bottom w:val="single" w:sz="4" w:space="0" w:color="auto"/>
            </w:tcBorders>
            <w:shd w:val="clear" w:color="auto" w:fill="D9D9D9"/>
          </w:tcPr>
          <w:p w14:paraId="4A3491AA" w14:textId="77777777" w:rsidR="00CB67E4" w:rsidRPr="006F04BF" w:rsidRDefault="00CB67E4" w:rsidP="00CB67E4">
            <w:pPr>
              <w:spacing w:before="0" w:line="240" w:lineRule="auto"/>
              <w:rPr>
                <w:rFonts w:cs="Arial"/>
                <w:snapToGrid w:val="0"/>
                <w:sz w:val="20"/>
                <w:szCs w:val="20"/>
                <w:lang w:val="en-GB"/>
              </w:rPr>
            </w:pPr>
            <w:r w:rsidRPr="006F04BF">
              <w:rPr>
                <w:rFonts w:cs="Arial"/>
                <w:b/>
                <w:sz w:val="20"/>
                <w:szCs w:val="20"/>
                <w:lang w:val="en-GB"/>
              </w:rPr>
              <w:t>Total Technical Score</w:t>
            </w:r>
          </w:p>
        </w:tc>
        <w:tc>
          <w:tcPr>
            <w:tcW w:w="1260" w:type="dxa"/>
            <w:tcBorders>
              <w:bottom w:val="single" w:sz="4" w:space="0" w:color="auto"/>
            </w:tcBorders>
            <w:shd w:val="clear" w:color="auto" w:fill="D9D9D9"/>
          </w:tcPr>
          <w:p w14:paraId="5DC4F6B4" w14:textId="77777777" w:rsidR="00CB67E4" w:rsidRPr="006F04BF" w:rsidRDefault="00CB67E4" w:rsidP="00CB67E4">
            <w:pPr>
              <w:spacing w:before="0" w:line="240" w:lineRule="auto"/>
              <w:jc w:val="center"/>
              <w:rPr>
                <w:rFonts w:cs="Arial"/>
                <w:b/>
                <w:snapToGrid w:val="0"/>
                <w:sz w:val="20"/>
                <w:szCs w:val="20"/>
                <w:lang w:val="en-GB"/>
              </w:rPr>
            </w:pPr>
            <w:r w:rsidRPr="006F04BF">
              <w:rPr>
                <w:rFonts w:cs="Arial"/>
                <w:b/>
                <w:snapToGrid w:val="0"/>
                <w:sz w:val="20"/>
                <w:szCs w:val="20"/>
                <w:lang w:val="en-GB"/>
              </w:rPr>
              <w:t>100</w:t>
            </w:r>
          </w:p>
        </w:tc>
        <w:tc>
          <w:tcPr>
            <w:tcW w:w="3240" w:type="dxa"/>
            <w:gridSpan w:val="5"/>
            <w:tcBorders>
              <w:bottom w:val="single" w:sz="4" w:space="0" w:color="auto"/>
            </w:tcBorders>
            <w:shd w:val="clear" w:color="auto" w:fill="D9D9D9"/>
          </w:tcPr>
          <w:p w14:paraId="68395053" w14:textId="77777777" w:rsidR="00CB67E4" w:rsidRPr="006F04BF" w:rsidRDefault="00CB67E4" w:rsidP="00CB67E4">
            <w:pPr>
              <w:spacing w:before="0" w:line="240" w:lineRule="auto"/>
              <w:jc w:val="center"/>
              <w:rPr>
                <w:rFonts w:cs="Arial"/>
                <w:b/>
                <w:snapToGrid w:val="0"/>
                <w:sz w:val="20"/>
                <w:szCs w:val="20"/>
                <w:lang w:val="en-GB"/>
              </w:rPr>
            </w:pPr>
          </w:p>
        </w:tc>
      </w:tr>
    </w:tbl>
    <w:p w14:paraId="3E184DE7" w14:textId="7D9F5C60"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295652CD"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Financial evaluation</w:t>
      </w:r>
    </w:p>
    <w:p w14:paraId="6FB3471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Each proposal shall be given a financial score. The lowest Financial Proposal (Fm) will be given a financial score (Sf) of 100 points. The formula for determining the financial scores shall be the following:</w:t>
      </w:r>
    </w:p>
    <w:p w14:paraId="4BBBBF55"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 100 x Fm/F, in which </w:t>
      </w:r>
    </w:p>
    <w:p w14:paraId="7CA808B3"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is the financial score </w:t>
      </w:r>
    </w:p>
    <w:p w14:paraId="5562BFA6"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Fm is the lowest price and</w:t>
      </w:r>
    </w:p>
    <w:p w14:paraId="485F30A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 is the price of the proposal under evaluation</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contact the Candidates having submitted proposals determined to be substantially and technically responsive, in order to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in order to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lastRenderedPageBreak/>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Contractor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7BB73BEC"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EA69DC">
        <w:rPr>
          <w:rFonts w:cs="Arial"/>
          <w:sz w:val="20"/>
          <w:szCs w:val="20"/>
          <w:lang w:val="en-GB" w:bidi="ar-SA"/>
        </w:rPr>
        <w:t>helphelp</w:t>
      </w:r>
      <w:r w:rsidR="000A1294" w:rsidRPr="000A1294">
        <w:rPr>
          <w:rFonts w:cs="Arial"/>
          <w:sz w:val="20"/>
          <w:szCs w:val="20"/>
          <w:lang w:val="en-GB" w:bidi="ar-SA"/>
        </w:rPr>
        <w:t>@</w:t>
      </w:r>
      <w:r w:rsidR="00EA69DC">
        <w:rPr>
          <w:rFonts w:cs="Arial"/>
          <w:sz w:val="20"/>
          <w:szCs w:val="20"/>
          <w:lang w:val="en-GB" w:bidi="ar-SA"/>
        </w:rPr>
        <w:t>t-com.me</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2A0567">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56A04" w14:textId="77777777" w:rsidR="00D206B9" w:rsidRDefault="00D206B9" w:rsidP="00D63F72">
      <w:pPr>
        <w:spacing w:before="0" w:line="240" w:lineRule="auto"/>
      </w:pPr>
      <w:r>
        <w:separator/>
      </w:r>
    </w:p>
  </w:endnote>
  <w:endnote w:type="continuationSeparator" w:id="0">
    <w:p w14:paraId="660042EA" w14:textId="77777777" w:rsidR="00D206B9" w:rsidRDefault="00D206B9"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5F591ED"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8E932" w14:textId="77777777" w:rsidR="00D206B9" w:rsidRDefault="00D206B9" w:rsidP="00D63F72">
      <w:pPr>
        <w:spacing w:before="0" w:line="240" w:lineRule="auto"/>
      </w:pPr>
      <w:r>
        <w:separator/>
      </w:r>
    </w:p>
  </w:footnote>
  <w:footnote w:type="continuationSeparator" w:id="0">
    <w:p w14:paraId="6E062668" w14:textId="77777777" w:rsidR="00D206B9" w:rsidRDefault="00D206B9"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2973949">
    <w:abstractNumId w:val="12"/>
  </w:num>
  <w:num w:numId="2" w16cid:durableId="1630621456">
    <w:abstractNumId w:val="0"/>
  </w:num>
  <w:num w:numId="3" w16cid:durableId="252396007">
    <w:abstractNumId w:val="1"/>
  </w:num>
  <w:num w:numId="4" w16cid:durableId="205606853">
    <w:abstractNumId w:val="5"/>
  </w:num>
  <w:num w:numId="5" w16cid:durableId="749699000">
    <w:abstractNumId w:val="9"/>
  </w:num>
  <w:num w:numId="6" w16cid:durableId="1941332985">
    <w:abstractNumId w:val="4"/>
  </w:num>
  <w:num w:numId="7" w16cid:durableId="1141925879">
    <w:abstractNumId w:val="8"/>
  </w:num>
  <w:num w:numId="8" w16cid:durableId="844201047">
    <w:abstractNumId w:val="2"/>
  </w:num>
  <w:num w:numId="9" w16cid:durableId="1218392119">
    <w:abstractNumId w:val="10"/>
  </w:num>
  <w:num w:numId="10" w16cid:durableId="2131852658">
    <w:abstractNumId w:val="11"/>
  </w:num>
  <w:num w:numId="11" w16cid:durableId="1817839830">
    <w:abstractNumId w:val="6"/>
  </w:num>
  <w:num w:numId="12" w16cid:durableId="1562978805">
    <w:abstractNumId w:val="7"/>
  </w:num>
  <w:num w:numId="13" w16cid:durableId="1343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29BD"/>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BF6"/>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73C"/>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3693"/>
    <w:rsid w:val="000E3C6C"/>
    <w:rsid w:val="000E433A"/>
    <w:rsid w:val="000E4D1C"/>
    <w:rsid w:val="000E51D4"/>
    <w:rsid w:val="000E5247"/>
    <w:rsid w:val="000E5796"/>
    <w:rsid w:val="000E5CA9"/>
    <w:rsid w:val="000E6AC8"/>
    <w:rsid w:val="000E6AF9"/>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6DD0"/>
    <w:rsid w:val="00117479"/>
    <w:rsid w:val="00120263"/>
    <w:rsid w:val="0012051D"/>
    <w:rsid w:val="00121D2B"/>
    <w:rsid w:val="00122081"/>
    <w:rsid w:val="00122B0E"/>
    <w:rsid w:val="00124A9E"/>
    <w:rsid w:val="0012568C"/>
    <w:rsid w:val="00125B17"/>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752"/>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0"/>
    <w:rsid w:val="002002E9"/>
    <w:rsid w:val="002006B8"/>
    <w:rsid w:val="00200D39"/>
    <w:rsid w:val="00201153"/>
    <w:rsid w:val="0020189D"/>
    <w:rsid w:val="00201CC3"/>
    <w:rsid w:val="00201F4E"/>
    <w:rsid w:val="00202322"/>
    <w:rsid w:val="002029C9"/>
    <w:rsid w:val="00203032"/>
    <w:rsid w:val="00204023"/>
    <w:rsid w:val="002044D7"/>
    <w:rsid w:val="0020517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0567"/>
    <w:rsid w:val="002A41EF"/>
    <w:rsid w:val="002A46AA"/>
    <w:rsid w:val="002A4E49"/>
    <w:rsid w:val="002A51B4"/>
    <w:rsid w:val="002B02A1"/>
    <w:rsid w:val="002B0718"/>
    <w:rsid w:val="002B11F6"/>
    <w:rsid w:val="002B23BF"/>
    <w:rsid w:val="002B47C1"/>
    <w:rsid w:val="002B60E5"/>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776AE"/>
    <w:rsid w:val="003808D3"/>
    <w:rsid w:val="00380DFD"/>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6E2"/>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5CA1"/>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816"/>
    <w:rsid w:val="004F3996"/>
    <w:rsid w:val="004F41AA"/>
    <w:rsid w:val="004F421F"/>
    <w:rsid w:val="004F4299"/>
    <w:rsid w:val="004F4E13"/>
    <w:rsid w:val="004F51B4"/>
    <w:rsid w:val="004F539C"/>
    <w:rsid w:val="004F5517"/>
    <w:rsid w:val="004F7685"/>
    <w:rsid w:val="004F7834"/>
    <w:rsid w:val="004F7C4D"/>
    <w:rsid w:val="00501C6C"/>
    <w:rsid w:val="005026EF"/>
    <w:rsid w:val="00502942"/>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4B9B"/>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3B18"/>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A59"/>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B"/>
    <w:rsid w:val="00580D8C"/>
    <w:rsid w:val="00581051"/>
    <w:rsid w:val="005812D6"/>
    <w:rsid w:val="00583019"/>
    <w:rsid w:val="00583B04"/>
    <w:rsid w:val="00583E1E"/>
    <w:rsid w:val="00584800"/>
    <w:rsid w:val="00585B09"/>
    <w:rsid w:val="005867B5"/>
    <w:rsid w:val="0058681B"/>
    <w:rsid w:val="00586C9C"/>
    <w:rsid w:val="005903C9"/>
    <w:rsid w:val="0059062B"/>
    <w:rsid w:val="00590796"/>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5CCA"/>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246"/>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F40"/>
    <w:rsid w:val="006203B7"/>
    <w:rsid w:val="00621A8F"/>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C94"/>
    <w:rsid w:val="00676ED2"/>
    <w:rsid w:val="006771AD"/>
    <w:rsid w:val="00677657"/>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92"/>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3F2"/>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828"/>
    <w:rsid w:val="00762ECE"/>
    <w:rsid w:val="00763950"/>
    <w:rsid w:val="00763B13"/>
    <w:rsid w:val="00763F08"/>
    <w:rsid w:val="007640FE"/>
    <w:rsid w:val="00764460"/>
    <w:rsid w:val="0076452E"/>
    <w:rsid w:val="007653B6"/>
    <w:rsid w:val="0076561E"/>
    <w:rsid w:val="007657AE"/>
    <w:rsid w:val="0076647A"/>
    <w:rsid w:val="00766709"/>
    <w:rsid w:val="00766E49"/>
    <w:rsid w:val="00767C13"/>
    <w:rsid w:val="00770620"/>
    <w:rsid w:val="00770766"/>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AB9"/>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220"/>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56E"/>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DB8"/>
    <w:rsid w:val="009836DC"/>
    <w:rsid w:val="00984826"/>
    <w:rsid w:val="009875FD"/>
    <w:rsid w:val="009877BF"/>
    <w:rsid w:val="00987DAD"/>
    <w:rsid w:val="00990A07"/>
    <w:rsid w:val="00990A4F"/>
    <w:rsid w:val="00990AE9"/>
    <w:rsid w:val="009911F9"/>
    <w:rsid w:val="00991564"/>
    <w:rsid w:val="009938AF"/>
    <w:rsid w:val="00993F8F"/>
    <w:rsid w:val="00994AB2"/>
    <w:rsid w:val="0099515A"/>
    <w:rsid w:val="009966DA"/>
    <w:rsid w:val="00996760"/>
    <w:rsid w:val="00997B6A"/>
    <w:rsid w:val="00997CB2"/>
    <w:rsid w:val="009A0189"/>
    <w:rsid w:val="009A07AC"/>
    <w:rsid w:val="009A0932"/>
    <w:rsid w:val="009A0954"/>
    <w:rsid w:val="009A0C2D"/>
    <w:rsid w:val="009A1AFC"/>
    <w:rsid w:val="009A1B28"/>
    <w:rsid w:val="009A1E93"/>
    <w:rsid w:val="009A2595"/>
    <w:rsid w:val="009A317F"/>
    <w:rsid w:val="009A3C93"/>
    <w:rsid w:val="009A45F8"/>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AE5"/>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433"/>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4B7"/>
    <w:rsid w:val="00A07860"/>
    <w:rsid w:val="00A079D7"/>
    <w:rsid w:val="00A07A32"/>
    <w:rsid w:val="00A11AAA"/>
    <w:rsid w:val="00A11C10"/>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5D77"/>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2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45D"/>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0D68"/>
    <w:rsid w:val="00C51162"/>
    <w:rsid w:val="00C519BB"/>
    <w:rsid w:val="00C51B84"/>
    <w:rsid w:val="00C529CA"/>
    <w:rsid w:val="00C52C3C"/>
    <w:rsid w:val="00C532D4"/>
    <w:rsid w:val="00C535EA"/>
    <w:rsid w:val="00C537AF"/>
    <w:rsid w:val="00C546DA"/>
    <w:rsid w:val="00C54754"/>
    <w:rsid w:val="00C55109"/>
    <w:rsid w:val="00C5561F"/>
    <w:rsid w:val="00C607D9"/>
    <w:rsid w:val="00C6092C"/>
    <w:rsid w:val="00C609E4"/>
    <w:rsid w:val="00C612C6"/>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2D8"/>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53B"/>
    <w:rsid w:val="00CA476D"/>
    <w:rsid w:val="00CA5094"/>
    <w:rsid w:val="00CA50EA"/>
    <w:rsid w:val="00CA7A94"/>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C9B"/>
    <w:rsid w:val="00CE291D"/>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8AB"/>
    <w:rsid w:val="00CF690A"/>
    <w:rsid w:val="00CF767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6B9"/>
    <w:rsid w:val="00D207A1"/>
    <w:rsid w:val="00D20AC2"/>
    <w:rsid w:val="00D210FF"/>
    <w:rsid w:val="00D21E30"/>
    <w:rsid w:val="00D22120"/>
    <w:rsid w:val="00D2266D"/>
    <w:rsid w:val="00D24FD9"/>
    <w:rsid w:val="00D25112"/>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4BA"/>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02D0"/>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69DC"/>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2BA"/>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07"/>
    <w:rsid w:val="00EE66D9"/>
    <w:rsid w:val="00EE6EFC"/>
    <w:rsid w:val="00EE6F70"/>
    <w:rsid w:val="00EE7531"/>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6EA"/>
    <w:rsid w:val="00F6279F"/>
    <w:rsid w:val="00F6357C"/>
    <w:rsid w:val="00F64151"/>
    <w:rsid w:val="00F643CA"/>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357"/>
    <w:rsid w:val="00FD25E1"/>
    <w:rsid w:val="00FD39D3"/>
    <w:rsid w:val="00FD404F"/>
    <w:rsid w:val="00FD42B3"/>
    <w:rsid w:val="00FD508D"/>
    <w:rsid w:val="00FD634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F7F0-065C-48E1-850D-FCF0DBD2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1742</Words>
  <Characters>9934</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119</cp:revision>
  <cp:lastPrinted>2016-10-25T18:08:00Z</cp:lastPrinted>
  <dcterms:created xsi:type="dcterms:W3CDTF">2020-04-30T08:58:00Z</dcterms:created>
  <dcterms:modified xsi:type="dcterms:W3CDTF">2024-11-21T19:20:00Z</dcterms:modified>
</cp:coreProperties>
</file>