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0410E" w:rsidP="00E21260" w:rsidRDefault="00A0410E" w14:paraId="12DAD9D9" w14:textId="53A99C53">
      <w:pPr>
        <w:pStyle w:val="Heading4"/>
        <w:spacing w:before="0" w:after="120"/>
        <w:jc w:val="right"/>
        <w:rPr>
          <w:rFonts w:ascii="Times New Roman" w:hAnsi="Times New Roman" w:eastAsia="Batang"/>
          <w:i w:val="0"/>
          <w:iCs/>
          <w:color w:val="000000" w:themeColor="text1"/>
          <w:sz w:val="22"/>
          <w:szCs w:val="22"/>
        </w:rPr>
      </w:pPr>
      <w:bookmarkStart w:name="_Ref126765755" w:id="0"/>
      <w:r>
        <w:rPr>
          <w:noProof/>
        </w:rPr>
        <w:drawing>
          <wp:anchor distT="0" distB="0" distL="114300" distR="114300" simplePos="0" relativeHeight="251659264" behindDoc="0" locked="0" layoutInCell="1" hidden="0" allowOverlap="1" wp14:anchorId="486C0FE9" wp14:editId="2AF195AB">
            <wp:simplePos x="0" y="0"/>
            <wp:positionH relativeFrom="margin">
              <wp:posOffset>-194945</wp:posOffset>
            </wp:positionH>
            <wp:positionV relativeFrom="topMargin">
              <wp:align>bottom</wp:align>
            </wp:positionV>
            <wp:extent cx="2167255" cy="645160"/>
            <wp:effectExtent l="0" t="0" r="0" b="0"/>
            <wp:wrapSquare wrapText="bothSides" distT="0" distB="0" distL="114300" distR="114300"/>
            <wp:docPr id="1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rotWithShape="1">
                    <a:blip r:embed="rId8"/>
                    <a:srcRect l="8230" t="11396" b="14377"/>
                    <a:stretch/>
                  </pic:blipFill>
                  <pic:spPr bwMode="auto">
                    <a:xfrm>
                      <a:off x="0" y="0"/>
                      <a:ext cx="2167255" cy="645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F962F3" w:rsidR="00E21260" w:rsidP="00B85A3A" w:rsidRDefault="00E21260" w14:paraId="2894375C" w14:textId="231765D0">
      <w:pPr>
        <w:pStyle w:val="Heading4"/>
        <w:spacing w:before="0" w:after="120"/>
        <w:jc w:val="center"/>
        <w:rPr>
          <w:rFonts w:ascii="Times New Roman" w:hAnsi="Times New Roman" w:eastAsia="Batang"/>
          <w:i w:val="0"/>
          <w:iCs/>
          <w:color w:val="000000" w:themeColor="text1"/>
          <w:sz w:val="22"/>
          <w:szCs w:val="22"/>
        </w:rPr>
      </w:pPr>
      <w:r w:rsidRPr="00F962F3">
        <w:rPr>
          <w:rFonts w:ascii="Times New Roman" w:hAnsi="Times New Roman" w:eastAsia="Batang"/>
          <w:i w:val="0"/>
          <w:iCs/>
          <w:color w:val="000000" w:themeColor="text1"/>
          <w:sz w:val="22"/>
          <w:szCs w:val="22"/>
        </w:rPr>
        <w:t>Annex 1</w:t>
      </w:r>
      <w:bookmarkEnd w:id="0"/>
    </w:p>
    <w:p w:rsidRPr="00F962F3" w:rsidR="00E21260" w:rsidP="00E21260" w:rsidRDefault="00E21260" w14:paraId="591C817D" w14:textId="1381037D">
      <w:pPr>
        <w:pStyle w:val="Heading4"/>
        <w:spacing w:before="0" w:after="120"/>
        <w:jc w:val="center"/>
        <w:rPr>
          <w:rFonts w:ascii="Times New Roman" w:hAnsi="Times New Roman"/>
          <w:bCs w:val="0"/>
          <w:i w:val="0"/>
          <w:iCs/>
          <w:color w:val="000000" w:themeColor="text1"/>
          <w:sz w:val="22"/>
          <w:szCs w:val="22"/>
        </w:rPr>
      </w:pPr>
      <w:r w:rsidRPr="00F962F3">
        <w:rPr>
          <w:rFonts w:ascii="Times New Roman" w:hAnsi="Times New Roman" w:eastAsia="Batang"/>
          <w:i w:val="0"/>
          <w:iCs/>
          <w:color w:val="000000" w:themeColor="text1"/>
          <w:sz w:val="22"/>
          <w:szCs w:val="22"/>
        </w:rPr>
        <w:t>ELIGIBILITY AND SELECTION CRITERIA</w:t>
      </w:r>
    </w:p>
    <w:p w:rsidRPr="00F962F3" w:rsidR="00E21260" w:rsidP="00E21260" w:rsidRDefault="00E21260" w14:paraId="35A073AC" w14:textId="77777777">
      <w:pPr>
        <w:pStyle w:val="BodyText"/>
        <w:rPr>
          <w:bCs/>
          <w:color w:val="000000" w:themeColor="text1"/>
          <w:sz w:val="22"/>
          <w:szCs w:val="22"/>
        </w:rPr>
      </w:pPr>
      <w:r w:rsidRPr="00F962F3">
        <w:rPr>
          <w:bCs/>
          <w:color w:val="000000" w:themeColor="text1"/>
          <w:sz w:val="22"/>
          <w:szCs w:val="22"/>
        </w:rPr>
        <w:t>To be eligible to receive grant funds, the applicant must:</w:t>
      </w:r>
    </w:p>
    <w:p w:rsidRPr="00F962F3" w:rsidR="00E21260" w:rsidP="2D6E8E4B" w:rsidRDefault="00E21260" w14:paraId="67827076" w14:textId="5BBA71CA">
      <w:pPr>
        <w:pStyle w:val="BodyText"/>
        <w:numPr>
          <w:ilvl w:val="0"/>
          <w:numId w:val="1"/>
        </w:numPr>
        <w:spacing w:after="0"/>
        <w:rPr>
          <w:color w:val="000000" w:themeColor="text1"/>
          <w:sz w:val="22"/>
          <w:szCs w:val="22"/>
        </w:rPr>
      </w:pPr>
      <w:r w:rsidRPr="2D6E8E4B">
        <w:rPr>
          <w:color w:val="000000" w:themeColor="text1"/>
          <w:sz w:val="22"/>
          <w:szCs w:val="22"/>
        </w:rPr>
        <w:t>Not use</w:t>
      </w:r>
      <w:r w:rsidRPr="2D6E8E4B" w:rsidR="73660085">
        <w:rPr>
          <w:color w:val="000000" w:themeColor="text1"/>
          <w:sz w:val="22"/>
          <w:szCs w:val="22"/>
        </w:rPr>
        <w:t xml:space="preserve"> provided</w:t>
      </w:r>
      <w:r w:rsidRPr="2D6E8E4B">
        <w:rPr>
          <w:color w:val="000000" w:themeColor="text1"/>
          <w:sz w:val="22"/>
          <w:szCs w:val="22"/>
        </w:rPr>
        <w:t xml:space="preserve"> funds for religious or political purposes;</w:t>
      </w:r>
    </w:p>
    <w:p w:rsidR="00E21260" w:rsidP="2D6E8E4B" w:rsidRDefault="67FB0BC9" w14:paraId="12215D0D" w14:textId="5C0FFF68">
      <w:pPr>
        <w:pStyle w:val="BodyText"/>
        <w:numPr>
          <w:ilvl w:val="0"/>
          <w:numId w:val="1"/>
        </w:numPr>
        <w:spacing w:after="0"/>
        <w:rPr>
          <w:color w:val="000000" w:themeColor="text1"/>
          <w:sz w:val="22"/>
          <w:szCs w:val="22"/>
        </w:rPr>
      </w:pPr>
      <w:r w:rsidRPr="5071A2A3">
        <w:rPr>
          <w:color w:val="000000" w:themeColor="text1"/>
          <w:sz w:val="22"/>
          <w:szCs w:val="22"/>
        </w:rPr>
        <w:t>N</w:t>
      </w:r>
      <w:r w:rsidRPr="5071A2A3" w:rsidR="00E21260">
        <w:rPr>
          <w:color w:val="000000" w:themeColor="text1"/>
          <w:sz w:val="22"/>
          <w:szCs w:val="22"/>
        </w:rPr>
        <w:t>ot be affiliated with JSSP or any of its directors, officers or employees, and families of employees;</w:t>
      </w:r>
    </w:p>
    <w:p w:rsidR="43805DC4" w:rsidP="5071A2A3" w:rsidRDefault="43805DC4" w14:paraId="233AA25F" w14:textId="299C1311">
      <w:pPr>
        <w:pStyle w:val="ListParagraph"/>
        <w:numPr>
          <w:ilvl w:val="0"/>
          <w:numId w:val="1"/>
        </w:numPr>
      </w:pPr>
      <w:r w:rsidRPr="5071A2A3">
        <w:rPr>
          <w:rFonts w:ascii="Times New Roman" w:hAnsi="Times New Roman" w:eastAsia="Times New Roman" w:cs="Times New Roman"/>
          <w:color w:val="000000" w:themeColor="text1"/>
          <w:sz w:val="22"/>
          <w:szCs w:val="22"/>
        </w:rPr>
        <w:t xml:space="preserve">Be officially registered and working non-profit organization in accordance with the terms and provisions defined by the Armenian legislation in force. </w:t>
      </w:r>
      <w:r w:rsidRPr="5071A2A3">
        <w:t xml:space="preserve"> </w:t>
      </w:r>
    </w:p>
    <w:p w:rsidRPr="00F962F3" w:rsidR="00E21260" w:rsidP="00E21260" w:rsidRDefault="00E21260" w14:paraId="24FB6AB4" w14:textId="415D178A">
      <w:pPr>
        <w:pStyle w:val="BodyText"/>
        <w:numPr>
          <w:ilvl w:val="0"/>
          <w:numId w:val="1"/>
        </w:numPr>
        <w:spacing w:after="0"/>
        <w:rPr>
          <w:bCs/>
          <w:color w:val="000000" w:themeColor="text1"/>
          <w:sz w:val="22"/>
          <w:szCs w:val="22"/>
        </w:rPr>
      </w:pPr>
      <w:r w:rsidRPr="1B5A9D4B" w:rsidR="00E21260">
        <w:rPr>
          <w:color w:val="000000" w:themeColor="text1" w:themeTint="FF" w:themeShade="FF"/>
          <w:sz w:val="22"/>
          <w:szCs w:val="22"/>
        </w:rPr>
        <w:t xml:space="preserve">Be registered with the applicable local authorities </w:t>
      </w:r>
      <w:r w:rsidRPr="1B5A9D4B" w:rsidR="00E46BB2">
        <w:rPr>
          <w:color w:val="000000" w:themeColor="text1" w:themeTint="FF" w:themeShade="FF"/>
          <w:sz w:val="22"/>
          <w:szCs w:val="22"/>
        </w:rPr>
        <w:t xml:space="preserve">to receive </w:t>
      </w:r>
      <w:r w:rsidRPr="1B5A9D4B" w:rsidR="00E21260">
        <w:rPr>
          <w:color w:val="000000" w:themeColor="text1" w:themeTint="FF" w:themeShade="FF"/>
          <w:sz w:val="22"/>
          <w:szCs w:val="22"/>
        </w:rPr>
        <w:t xml:space="preserve">Simplified/Standard Grants; </w:t>
      </w:r>
    </w:p>
    <w:p w:rsidRPr="00F962F3" w:rsidR="00E21260" w:rsidP="5071A2A3" w:rsidRDefault="7E67C3AB" w14:paraId="1DE3B17B" w14:textId="661722EC">
      <w:pPr>
        <w:pStyle w:val="BodyText"/>
        <w:numPr>
          <w:ilvl w:val="0"/>
          <w:numId w:val="1"/>
        </w:numPr>
        <w:rPr>
          <w:color w:val="000000" w:themeColor="text1"/>
          <w:sz w:val="22"/>
          <w:szCs w:val="22"/>
        </w:rPr>
      </w:pPr>
      <w:r w:rsidRPr="5071A2A3">
        <w:rPr>
          <w:color w:val="000000" w:themeColor="text1"/>
          <w:sz w:val="22"/>
          <w:szCs w:val="22"/>
        </w:rPr>
        <w:t>N</w:t>
      </w:r>
      <w:r w:rsidRPr="5071A2A3" w:rsidR="00E21260">
        <w:rPr>
          <w:color w:val="000000" w:themeColor="text1"/>
          <w:sz w:val="22"/>
          <w:szCs w:val="22"/>
        </w:rPr>
        <w:t>ot be excluded from receiving Federal awards (please refer to “Prohibition on Funding Terrorism” section of this Manual). JSSP will ensure that each prospective grantee does not appear as ineligible/debarred/suspended on any of the following: System for Award Management (SAM); and Blocked Persons List maintained by the US Treasury for the Office of Foreign Assets Control, sometimes referred to as the “OFAC List”; and the United Nations Security designation list. JSSP will confirm that a risk assessment has been conducted by name.</w:t>
      </w:r>
    </w:p>
    <w:p w:rsidRPr="00F962F3" w:rsidR="00E21260" w:rsidP="00E21260" w:rsidRDefault="00E21260" w14:paraId="431C736E" w14:textId="77777777">
      <w:pPr>
        <w:pStyle w:val="BodyText"/>
        <w:rPr>
          <w:bCs/>
          <w:color w:val="000000" w:themeColor="text1"/>
          <w:sz w:val="22"/>
          <w:szCs w:val="22"/>
        </w:rPr>
      </w:pPr>
      <w:r w:rsidRPr="00F962F3">
        <w:rPr>
          <w:bCs/>
          <w:color w:val="000000" w:themeColor="text1"/>
          <w:sz w:val="22"/>
          <w:szCs w:val="22"/>
        </w:rPr>
        <w:t>Grant applications that meet minimum eligibility criteria will be reviewed and awarded based on selection criteria, which could include but not be limited to:</w:t>
      </w:r>
    </w:p>
    <w:p w:rsidRPr="00F962F3" w:rsidR="00E21260" w:rsidP="00E21260" w:rsidRDefault="00E21260" w14:paraId="35852232" w14:textId="77777777">
      <w:pPr>
        <w:pStyle w:val="BodyText"/>
        <w:numPr>
          <w:ilvl w:val="0"/>
          <w:numId w:val="2"/>
        </w:numPr>
        <w:spacing w:after="0"/>
        <w:rPr>
          <w:bCs/>
          <w:color w:val="000000" w:themeColor="text1"/>
          <w:sz w:val="22"/>
          <w:szCs w:val="22"/>
        </w:rPr>
      </w:pPr>
      <w:r w:rsidRPr="00F962F3">
        <w:rPr>
          <w:bCs/>
          <w:color w:val="000000" w:themeColor="text1"/>
          <w:sz w:val="22"/>
          <w:szCs w:val="22"/>
        </w:rPr>
        <w:t>Applicant must be officially registered as a legal entity and working in compliance with all applicable local laws and statutes. If an applicant is not legally registered, the applicant can show proof of effort to secure registration, exemption from registration, or show cause and justify why such registration would be harmful, with supporting documentation, as applicable;</w:t>
      </w:r>
    </w:p>
    <w:p w:rsidRPr="00F962F3" w:rsidR="00E21260" w:rsidP="00E21260" w:rsidRDefault="00E21260" w14:paraId="4F7DACD5" w14:textId="77777777">
      <w:pPr>
        <w:pStyle w:val="BodyText"/>
        <w:numPr>
          <w:ilvl w:val="0"/>
          <w:numId w:val="2"/>
        </w:numPr>
        <w:spacing w:after="0"/>
        <w:rPr>
          <w:bCs/>
          <w:color w:val="000000" w:themeColor="text1"/>
          <w:sz w:val="22"/>
          <w:szCs w:val="22"/>
        </w:rPr>
      </w:pPr>
      <w:r w:rsidRPr="00F962F3">
        <w:rPr>
          <w:bCs/>
          <w:color w:val="000000" w:themeColor="text1"/>
          <w:sz w:val="22"/>
          <w:szCs w:val="22"/>
        </w:rPr>
        <w:t xml:space="preserve">Likelihood of proposed activity to further project objectives; </w:t>
      </w:r>
    </w:p>
    <w:p w:rsidRPr="00F962F3" w:rsidR="00E21260" w:rsidP="00E21260" w:rsidRDefault="00E21260" w14:paraId="235C4AF6" w14:textId="77777777">
      <w:pPr>
        <w:pStyle w:val="BodyText"/>
        <w:numPr>
          <w:ilvl w:val="0"/>
          <w:numId w:val="2"/>
        </w:numPr>
        <w:spacing w:after="0"/>
        <w:rPr>
          <w:bCs/>
          <w:color w:val="000000" w:themeColor="text1"/>
          <w:sz w:val="22"/>
          <w:szCs w:val="22"/>
        </w:rPr>
      </w:pPr>
      <w:r w:rsidRPr="00F962F3">
        <w:rPr>
          <w:bCs/>
          <w:color w:val="000000" w:themeColor="text1"/>
          <w:sz w:val="22"/>
          <w:szCs w:val="22"/>
        </w:rPr>
        <w:t>Appropriateness and feasibility of project activities within the proposed timeframe and budget;</w:t>
      </w:r>
    </w:p>
    <w:p w:rsidRPr="00F962F3" w:rsidR="00E21260" w:rsidP="00E21260" w:rsidRDefault="00E21260" w14:paraId="26B48235" w14:textId="77777777">
      <w:pPr>
        <w:pStyle w:val="BodyText"/>
        <w:numPr>
          <w:ilvl w:val="0"/>
          <w:numId w:val="2"/>
        </w:numPr>
        <w:spacing w:after="0"/>
        <w:rPr>
          <w:bCs/>
          <w:color w:val="000000" w:themeColor="text1"/>
          <w:sz w:val="22"/>
          <w:szCs w:val="22"/>
        </w:rPr>
      </w:pPr>
      <w:r w:rsidRPr="00F962F3">
        <w:rPr>
          <w:bCs/>
          <w:color w:val="000000" w:themeColor="text1"/>
          <w:sz w:val="22"/>
          <w:szCs w:val="22"/>
        </w:rPr>
        <w:t>Demonstrated capacity of organization, including sound financial practice, in areas pertaining to the proposed activity;</w:t>
      </w:r>
    </w:p>
    <w:p w:rsidRPr="00F962F3" w:rsidR="00E21260" w:rsidP="00E21260" w:rsidRDefault="00E21260" w14:paraId="75F3DFA0" w14:textId="77777777">
      <w:pPr>
        <w:pStyle w:val="BodyText"/>
        <w:numPr>
          <w:ilvl w:val="0"/>
          <w:numId w:val="2"/>
        </w:numPr>
        <w:spacing w:after="0"/>
        <w:rPr>
          <w:bCs/>
          <w:color w:val="000000" w:themeColor="text1"/>
          <w:sz w:val="22"/>
          <w:szCs w:val="22"/>
        </w:rPr>
      </w:pPr>
      <w:r w:rsidRPr="00F962F3">
        <w:rPr>
          <w:bCs/>
          <w:color w:val="000000" w:themeColor="text1"/>
          <w:sz w:val="22"/>
          <w:szCs w:val="22"/>
        </w:rPr>
        <w:t>Professionalism and experience of project staff in the subject matter concerned;</w:t>
      </w:r>
    </w:p>
    <w:p w:rsidRPr="00F962F3" w:rsidR="00E21260" w:rsidP="00E21260" w:rsidRDefault="00E21260" w14:paraId="27D6FC0E" w14:textId="77777777">
      <w:pPr>
        <w:pStyle w:val="BodyText"/>
        <w:numPr>
          <w:ilvl w:val="0"/>
          <w:numId w:val="2"/>
        </w:numPr>
        <w:spacing w:after="0"/>
        <w:rPr>
          <w:bCs/>
          <w:color w:val="000000" w:themeColor="text1"/>
          <w:sz w:val="22"/>
          <w:szCs w:val="22"/>
        </w:rPr>
      </w:pPr>
      <w:r w:rsidRPr="00F962F3">
        <w:rPr>
          <w:bCs/>
          <w:color w:val="000000" w:themeColor="text1"/>
          <w:sz w:val="22"/>
          <w:szCs w:val="22"/>
        </w:rPr>
        <w:t>Responsiveness to need;</w:t>
      </w:r>
    </w:p>
    <w:p w:rsidRPr="00F962F3" w:rsidR="00E21260" w:rsidP="00E21260" w:rsidRDefault="002F226F" w14:paraId="7D907388" w14:textId="02269DC1">
      <w:pPr>
        <w:pStyle w:val="BodyText"/>
        <w:numPr>
          <w:ilvl w:val="0"/>
          <w:numId w:val="2"/>
        </w:numPr>
        <w:spacing w:after="0"/>
        <w:rPr>
          <w:bCs/>
          <w:color w:val="000000" w:themeColor="text1"/>
          <w:sz w:val="22"/>
          <w:szCs w:val="22"/>
        </w:rPr>
      </w:pPr>
      <w:sdt>
        <w:sdtPr>
          <w:rPr>
            <w:bCs/>
            <w:color w:val="000000" w:themeColor="text1"/>
            <w:sz w:val="22"/>
            <w:szCs w:val="22"/>
          </w:rPr>
          <w:tag w:val="goog_rdk_24"/>
          <w:id w:val="-487710721"/>
        </w:sdtPr>
        <w:sdtEndPr/>
        <w:sdtContent/>
      </w:sdt>
      <w:sdt>
        <w:sdtPr>
          <w:rPr>
            <w:bCs/>
            <w:color w:val="000000" w:themeColor="text1"/>
            <w:sz w:val="22"/>
            <w:szCs w:val="22"/>
          </w:rPr>
          <w:tag w:val="goog_rdk_25"/>
          <w:id w:val="-624313851"/>
          <w:showingPlcHdr/>
        </w:sdtPr>
        <w:sdtEndPr/>
        <w:sdtContent>
          <w:r w:rsidR="009F64F7">
            <w:rPr>
              <w:bCs/>
              <w:color w:val="000000" w:themeColor="text1"/>
              <w:sz w:val="22"/>
              <w:szCs w:val="22"/>
            </w:rPr>
            <w:t xml:space="preserve">     </w:t>
          </w:r>
        </w:sdtContent>
      </w:sdt>
      <w:r w:rsidRPr="00F962F3" w:rsidR="00E21260">
        <w:rPr>
          <w:bCs/>
          <w:color w:val="000000" w:themeColor="text1"/>
          <w:sz w:val="22"/>
          <w:szCs w:val="22"/>
        </w:rPr>
        <w:t xml:space="preserve">Place of performance of the grant; and </w:t>
      </w:r>
    </w:p>
    <w:p w:rsidRPr="00F962F3" w:rsidR="00E21260" w:rsidP="00E21260" w:rsidRDefault="00E21260" w14:paraId="29AD2F6E" w14:textId="77777777">
      <w:pPr>
        <w:pStyle w:val="BodyText"/>
        <w:numPr>
          <w:ilvl w:val="0"/>
          <w:numId w:val="2"/>
        </w:numPr>
        <w:rPr>
          <w:bCs/>
          <w:color w:val="000000" w:themeColor="text1"/>
          <w:sz w:val="22"/>
          <w:szCs w:val="22"/>
        </w:rPr>
      </w:pPr>
      <w:r w:rsidRPr="00F962F3">
        <w:rPr>
          <w:bCs/>
          <w:color w:val="000000" w:themeColor="text1"/>
          <w:sz w:val="22"/>
          <w:szCs w:val="22"/>
        </w:rPr>
        <w:t>Potential for impact.</w:t>
      </w:r>
    </w:p>
    <w:p w:rsidR="0007231B" w:rsidRDefault="0007231B" w14:paraId="78650EA1" w14:textId="77777777"/>
    <w:sectPr w:rsidR="0007231B" w:rsidSect="00454DBB">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63004"/>
    <w:multiLevelType w:val="multilevel"/>
    <w:tmpl w:val="72FA6AA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936" w:hanging="360"/>
      </w:pPr>
      <w:rPr>
        <w:rFonts w:ascii="Courier New" w:hAnsi="Courier New" w:eastAsia="Courier New" w:cs="Courier New"/>
      </w:rPr>
    </w:lvl>
    <w:lvl w:ilvl="2">
      <w:start w:val="1"/>
      <w:numFmt w:val="bullet"/>
      <w:lvlText w:val="▪"/>
      <w:lvlJc w:val="left"/>
      <w:pPr>
        <w:ind w:left="1656" w:hanging="360"/>
      </w:pPr>
      <w:rPr>
        <w:rFonts w:ascii="Noto Sans Symbols" w:hAnsi="Noto Sans Symbols" w:eastAsia="Noto Sans Symbols" w:cs="Noto Sans Symbols"/>
      </w:rPr>
    </w:lvl>
    <w:lvl w:ilvl="3">
      <w:start w:val="1"/>
      <w:numFmt w:val="bullet"/>
      <w:lvlText w:val="●"/>
      <w:lvlJc w:val="left"/>
      <w:pPr>
        <w:ind w:left="2376" w:hanging="360"/>
      </w:pPr>
      <w:rPr>
        <w:rFonts w:ascii="Noto Sans Symbols" w:hAnsi="Noto Sans Symbols" w:eastAsia="Noto Sans Symbols" w:cs="Noto Sans Symbols"/>
      </w:rPr>
    </w:lvl>
    <w:lvl w:ilvl="4">
      <w:start w:val="1"/>
      <w:numFmt w:val="bullet"/>
      <w:lvlText w:val="o"/>
      <w:lvlJc w:val="left"/>
      <w:pPr>
        <w:ind w:left="3096" w:hanging="360"/>
      </w:pPr>
      <w:rPr>
        <w:rFonts w:ascii="Courier New" w:hAnsi="Courier New" w:eastAsia="Courier New" w:cs="Courier New"/>
      </w:rPr>
    </w:lvl>
    <w:lvl w:ilvl="5">
      <w:start w:val="1"/>
      <w:numFmt w:val="bullet"/>
      <w:lvlText w:val="▪"/>
      <w:lvlJc w:val="left"/>
      <w:pPr>
        <w:ind w:left="3816" w:hanging="360"/>
      </w:pPr>
      <w:rPr>
        <w:rFonts w:ascii="Noto Sans Symbols" w:hAnsi="Noto Sans Symbols" w:eastAsia="Noto Sans Symbols" w:cs="Noto Sans Symbols"/>
      </w:rPr>
    </w:lvl>
    <w:lvl w:ilvl="6">
      <w:start w:val="1"/>
      <w:numFmt w:val="bullet"/>
      <w:lvlText w:val="●"/>
      <w:lvlJc w:val="left"/>
      <w:pPr>
        <w:ind w:left="4536" w:hanging="360"/>
      </w:pPr>
      <w:rPr>
        <w:rFonts w:ascii="Noto Sans Symbols" w:hAnsi="Noto Sans Symbols" w:eastAsia="Noto Sans Symbols" w:cs="Noto Sans Symbols"/>
      </w:rPr>
    </w:lvl>
    <w:lvl w:ilvl="7">
      <w:start w:val="1"/>
      <w:numFmt w:val="bullet"/>
      <w:lvlText w:val="o"/>
      <w:lvlJc w:val="left"/>
      <w:pPr>
        <w:ind w:left="5256" w:hanging="360"/>
      </w:pPr>
      <w:rPr>
        <w:rFonts w:ascii="Courier New" w:hAnsi="Courier New" w:eastAsia="Courier New" w:cs="Courier New"/>
      </w:rPr>
    </w:lvl>
    <w:lvl w:ilvl="8">
      <w:start w:val="1"/>
      <w:numFmt w:val="bullet"/>
      <w:lvlText w:val="▪"/>
      <w:lvlJc w:val="left"/>
      <w:pPr>
        <w:ind w:left="5976" w:hanging="360"/>
      </w:pPr>
      <w:rPr>
        <w:rFonts w:ascii="Noto Sans Symbols" w:hAnsi="Noto Sans Symbols" w:eastAsia="Noto Sans Symbols" w:cs="Noto Sans Symbols"/>
      </w:rPr>
    </w:lvl>
  </w:abstractNum>
  <w:abstractNum w:abstractNumId="1" w15:restartNumberingAfterBreak="0">
    <w:nsid w:val="405C5201"/>
    <w:multiLevelType w:val="hybridMultilevel"/>
    <w:tmpl w:val="635A0EA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185777D"/>
    <w:multiLevelType w:val="multilevel"/>
    <w:tmpl w:val="FEDE3DEA"/>
    <w:lvl w:ilvl="0">
      <w:start w:val="1"/>
      <w:numFmt w:val="bullet"/>
      <w:lvlText w:val=""/>
      <w:lvlJc w:val="left"/>
      <w:pPr>
        <w:ind w:left="360" w:hanging="360"/>
      </w:pPr>
      <w:rPr>
        <w:rFonts w:hint="default" w:ascii="Symbol" w:hAnsi="Symbol"/>
      </w:rPr>
    </w:lvl>
    <w:lvl w:ilvl="1">
      <w:start w:val="1"/>
      <w:numFmt w:val="bullet"/>
      <w:lvlText w:val="o"/>
      <w:lvlJc w:val="left"/>
      <w:pPr>
        <w:ind w:left="936" w:hanging="360"/>
      </w:pPr>
      <w:rPr>
        <w:rFonts w:ascii="Courier New" w:hAnsi="Courier New" w:eastAsia="Courier New" w:cs="Courier New"/>
      </w:rPr>
    </w:lvl>
    <w:lvl w:ilvl="2">
      <w:start w:val="1"/>
      <w:numFmt w:val="bullet"/>
      <w:lvlText w:val="▪"/>
      <w:lvlJc w:val="left"/>
      <w:pPr>
        <w:ind w:left="1656" w:hanging="360"/>
      </w:pPr>
      <w:rPr>
        <w:rFonts w:ascii="Noto Sans Symbols" w:hAnsi="Noto Sans Symbols" w:eastAsia="Noto Sans Symbols" w:cs="Noto Sans Symbols"/>
      </w:rPr>
    </w:lvl>
    <w:lvl w:ilvl="3">
      <w:start w:val="1"/>
      <w:numFmt w:val="bullet"/>
      <w:lvlText w:val="●"/>
      <w:lvlJc w:val="left"/>
      <w:pPr>
        <w:ind w:left="2376" w:hanging="360"/>
      </w:pPr>
      <w:rPr>
        <w:rFonts w:ascii="Noto Sans Symbols" w:hAnsi="Noto Sans Symbols" w:eastAsia="Noto Sans Symbols" w:cs="Noto Sans Symbols"/>
      </w:rPr>
    </w:lvl>
    <w:lvl w:ilvl="4">
      <w:start w:val="1"/>
      <w:numFmt w:val="bullet"/>
      <w:lvlText w:val="o"/>
      <w:lvlJc w:val="left"/>
      <w:pPr>
        <w:ind w:left="3096" w:hanging="360"/>
      </w:pPr>
      <w:rPr>
        <w:rFonts w:ascii="Courier New" w:hAnsi="Courier New" w:eastAsia="Courier New" w:cs="Courier New"/>
      </w:rPr>
    </w:lvl>
    <w:lvl w:ilvl="5">
      <w:start w:val="1"/>
      <w:numFmt w:val="bullet"/>
      <w:lvlText w:val="▪"/>
      <w:lvlJc w:val="left"/>
      <w:pPr>
        <w:ind w:left="3816" w:hanging="360"/>
      </w:pPr>
      <w:rPr>
        <w:rFonts w:ascii="Noto Sans Symbols" w:hAnsi="Noto Sans Symbols" w:eastAsia="Noto Sans Symbols" w:cs="Noto Sans Symbols"/>
      </w:rPr>
    </w:lvl>
    <w:lvl w:ilvl="6">
      <w:start w:val="1"/>
      <w:numFmt w:val="bullet"/>
      <w:lvlText w:val="●"/>
      <w:lvlJc w:val="left"/>
      <w:pPr>
        <w:ind w:left="4536" w:hanging="360"/>
      </w:pPr>
      <w:rPr>
        <w:rFonts w:ascii="Noto Sans Symbols" w:hAnsi="Noto Sans Symbols" w:eastAsia="Noto Sans Symbols" w:cs="Noto Sans Symbols"/>
      </w:rPr>
    </w:lvl>
    <w:lvl w:ilvl="7">
      <w:start w:val="1"/>
      <w:numFmt w:val="bullet"/>
      <w:lvlText w:val="o"/>
      <w:lvlJc w:val="left"/>
      <w:pPr>
        <w:ind w:left="5256" w:hanging="360"/>
      </w:pPr>
      <w:rPr>
        <w:rFonts w:ascii="Courier New" w:hAnsi="Courier New" w:eastAsia="Courier New" w:cs="Courier New"/>
      </w:rPr>
    </w:lvl>
    <w:lvl w:ilvl="8">
      <w:start w:val="1"/>
      <w:numFmt w:val="bullet"/>
      <w:lvlText w:val="▪"/>
      <w:lvlJc w:val="left"/>
      <w:pPr>
        <w:ind w:left="5976" w:hanging="360"/>
      </w:pPr>
      <w:rPr>
        <w:rFonts w:ascii="Noto Sans Symbols" w:hAnsi="Noto Sans Symbols" w:eastAsia="Noto Sans Symbols" w:cs="Noto Sans Symbols"/>
      </w:rPr>
    </w:lvl>
  </w:abstractNum>
  <w:num w:numId="1" w16cid:durableId="1807309624">
    <w:abstractNumId w:val="0"/>
  </w:num>
  <w:num w:numId="2" w16cid:durableId="178739762">
    <w:abstractNumId w:val="2"/>
  </w:num>
  <w:num w:numId="3" w16cid:durableId="134200886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60"/>
    <w:rsid w:val="0007231B"/>
    <w:rsid w:val="00101903"/>
    <w:rsid w:val="002F226F"/>
    <w:rsid w:val="003A7561"/>
    <w:rsid w:val="003B06BA"/>
    <w:rsid w:val="00454DBB"/>
    <w:rsid w:val="00562DCC"/>
    <w:rsid w:val="006E314B"/>
    <w:rsid w:val="007D6A20"/>
    <w:rsid w:val="00933EA0"/>
    <w:rsid w:val="009F64F7"/>
    <w:rsid w:val="00A0410E"/>
    <w:rsid w:val="00B53FD2"/>
    <w:rsid w:val="00B85A3A"/>
    <w:rsid w:val="00D64E2D"/>
    <w:rsid w:val="00D93636"/>
    <w:rsid w:val="00E047D1"/>
    <w:rsid w:val="00E05EBE"/>
    <w:rsid w:val="00E21260"/>
    <w:rsid w:val="00E46BB2"/>
    <w:rsid w:val="1B5A9D4B"/>
    <w:rsid w:val="2D6E8E4B"/>
    <w:rsid w:val="43805DC4"/>
    <w:rsid w:val="5071A2A3"/>
    <w:rsid w:val="67FB0BC9"/>
    <w:rsid w:val="73660085"/>
    <w:rsid w:val="7E67C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F504"/>
  <w15:chartTrackingRefBased/>
  <w15:docId w15:val="{AF8FBB29-EA93-3D48-BEC2-ED2D927A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next w:val="Normal"/>
    <w:link w:val="Heading4Char"/>
    <w:qFormat/>
    <w:rsid w:val="00E21260"/>
    <w:pPr>
      <w:keepNext/>
      <w:spacing w:before="240" w:after="60"/>
      <w:outlineLvl w:val="3"/>
    </w:pPr>
    <w:rPr>
      <w:rFonts w:eastAsia="Times New Roman" w:cs="Times New Roman" w:asciiTheme="majorHAnsi" w:hAnsiTheme="majorHAnsi"/>
      <w:b/>
      <w:bCs/>
      <w:i/>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rsid w:val="00E21260"/>
    <w:rPr>
      <w:rFonts w:eastAsia="Times New Roman" w:cs="Times New Roman" w:asciiTheme="majorHAnsi" w:hAnsiTheme="majorHAnsi"/>
      <w:b/>
      <w:bCs/>
      <w:i/>
      <w:lang w:eastAsia="en-AU"/>
    </w:rPr>
  </w:style>
  <w:style w:type="paragraph" w:styleId="BodyText">
    <w:name w:val="Body Text"/>
    <w:basedOn w:val="Normal"/>
    <w:link w:val="BodyTextChar"/>
    <w:rsid w:val="00E21260"/>
    <w:pPr>
      <w:spacing w:after="120"/>
      <w:jc w:val="both"/>
    </w:pPr>
    <w:rPr>
      <w:rFonts w:ascii="Times New Roman" w:hAnsi="Times New Roman" w:eastAsia="Batang" w:cs="Times New Roman"/>
    </w:rPr>
  </w:style>
  <w:style w:type="character" w:styleId="BodyTextChar" w:customStyle="1">
    <w:name w:val="Body Text Char"/>
    <w:basedOn w:val="DefaultParagraphFont"/>
    <w:link w:val="BodyText"/>
    <w:rsid w:val="00E21260"/>
    <w:rPr>
      <w:rFonts w:ascii="Times New Roman" w:hAnsi="Times New Roman" w:eastAsia="Batang" w:cs="Times New Roman"/>
    </w:rPr>
  </w:style>
  <w:style w:type="character" w:styleId="CommentReference">
    <w:name w:val="annotation reference"/>
    <w:basedOn w:val="DefaultParagraphFont"/>
    <w:uiPriority w:val="99"/>
    <w:semiHidden/>
    <w:unhideWhenUsed/>
    <w:rsid w:val="003B06BA"/>
    <w:rPr>
      <w:sz w:val="16"/>
      <w:szCs w:val="16"/>
    </w:rPr>
  </w:style>
  <w:style w:type="paragraph" w:styleId="CommentText">
    <w:name w:val="annotation text"/>
    <w:basedOn w:val="Normal"/>
    <w:link w:val="CommentTextChar"/>
    <w:uiPriority w:val="99"/>
    <w:unhideWhenUsed/>
    <w:rsid w:val="003B06BA"/>
    <w:rPr>
      <w:sz w:val="20"/>
      <w:szCs w:val="20"/>
    </w:rPr>
  </w:style>
  <w:style w:type="character" w:styleId="CommentTextChar" w:customStyle="1">
    <w:name w:val="Comment Text Char"/>
    <w:basedOn w:val="DefaultParagraphFont"/>
    <w:link w:val="CommentText"/>
    <w:uiPriority w:val="99"/>
    <w:rsid w:val="003B06BA"/>
    <w:rPr>
      <w:sz w:val="20"/>
      <w:szCs w:val="20"/>
    </w:rPr>
  </w:style>
  <w:style w:type="paragraph" w:styleId="CommentSubject">
    <w:name w:val="annotation subject"/>
    <w:basedOn w:val="CommentText"/>
    <w:next w:val="CommentText"/>
    <w:link w:val="CommentSubjectChar"/>
    <w:uiPriority w:val="99"/>
    <w:semiHidden/>
    <w:unhideWhenUsed/>
    <w:rsid w:val="003B06BA"/>
    <w:rPr>
      <w:b/>
      <w:bCs/>
    </w:rPr>
  </w:style>
  <w:style w:type="character" w:styleId="CommentSubjectChar" w:customStyle="1">
    <w:name w:val="Comment Subject Char"/>
    <w:basedOn w:val="CommentTextChar"/>
    <w:link w:val="CommentSubject"/>
    <w:uiPriority w:val="99"/>
    <w:semiHidden/>
    <w:rsid w:val="003B06BA"/>
    <w:rPr>
      <w:b/>
      <w:bCs/>
      <w:sz w:val="20"/>
      <w:szCs w:val="20"/>
    </w:rPr>
  </w:style>
  <w:style w:type="paragraph" w:styleId="Revision">
    <w:name w:val="Revision"/>
    <w:hidden/>
    <w:uiPriority w:val="99"/>
    <w:semiHidden/>
    <w:rsid w:val="00101903"/>
  </w:style>
  <w:style w:type="paragraph" w:styleId="NormalWeb">
    <w:name w:val="Normal (Web)"/>
    <w:basedOn w:val="Normal"/>
    <w:uiPriority w:val="99"/>
    <w:unhideWhenUsed/>
    <w:rsid w:val="007D6A20"/>
    <w:rPr>
      <w:rFonts w:ascii="Times New Roman" w:hAnsi="Times New Roman" w:cs="Times New Roman"/>
    </w:rPr>
  </w:style>
  <w:style w:type="paragraph" w:styleId="ListParagraph">
    <w:name w:val="List Paragraph"/>
    <w:basedOn w:val="Normal"/>
    <w:uiPriority w:val="34"/>
    <w:qFormat/>
    <w:rsid w:val="009F6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numbering" Target="numbering.xml" Id="rId4"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1e101f-329f-41d7-90f9-a8967faa8cb1" xsi:nil="true"/>
    <lcf76f155ced4ddcb4097134ff3c332f xmlns="c92ffa3e-9a6d-4e93-8b25-b68c4a46d7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0C2C9C53251E4487BDAFC819441312" ma:contentTypeVersion="15" ma:contentTypeDescription="Create a new document." ma:contentTypeScope="" ma:versionID="f57d4e76c3dc000bada3aba3d73a04ad">
  <xsd:schema xmlns:xsd="http://www.w3.org/2001/XMLSchema" xmlns:xs="http://www.w3.org/2001/XMLSchema" xmlns:p="http://schemas.microsoft.com/office/2006/metadata/properties" xmlns:ns2="c92ffa3e-9a6d-4e93-8b25-b68c4a46d71b" xmlns:ns3="4b1e101f-329f-41d7-90f9-a8967faa8cb1" targetNamespace="http://schemas.microsoft.com/office/2006/metadata/properties" ma:root="true" ma:fieldsID="9f7ffa2a3e0ffd9c8b7209299195a564" ns2:_="" ns3:_="">
    <xsd:import namespace="c92ffa3e-9a6d-4e93-8b25-b68c4a46d71b"/>
    <xsd:import namespace="4b1e101f-329f-41d7-90f9-a8967faa8c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ffa3e-9a6d-4e93-8b25-b68c4a46d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4cc65a-fac7-4282-8d9c-92ae2efa44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e101f-329f-41d7-90f9-a8967faa8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d283b25-155b-4591-a864-889efd1e6fae}" ma:internalName="TaxCatchAll" ma:showField="CatchAllData" ma:web="4b1e101f-329f-41d7-90f9-a8967faa8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6D613-42A4-4E5E-B34D-5AE16147FF49}">
  <ds:schemaRefs>
    <ds:schemaRef ds:uri="http://schemas.microsoft.com/sharepoint/v3/contenttype/forms"/>
  </ds:schemaRefs>
</ds:datastoreItem>
</file>

<file path=customXml/itemProps2.xml><?xml version="1.0" encoding="utf-8"?>
<ds:datastoreItem xmlns:ds="http://schemas.openxmlformats.org/officeDocument/2006/customXml" ds:itemID="{2D26C6C0-0D16-4606-BDDD-5EF8B34D0559}">
  <ds:schemaRefs>
    <ds:schemaRef ds:uri="http://schemas.microsoft.com/office/2006/metadata/properties"/>
    <ds:schemaRef ds:uri="http://schemas.microsoft.com/office/infopath/2007/PartnerControls"/>
    <ds:schemaRef ds:uri="4b1e101f-329f-41d7-90f9-a8967faa8cb1"/>
    <ds:schemaRef ds:uri="c92ffa3e-9a6d-4e93-8b25-b68c4a46d71b"/>
  </ds:schemaRefs>
</ds:datastoreItem>
</file>

<file path=customXml/itemProps3.xml><?xml version="1.0" encoding="utf-8"?>
<ds:datastoreItem xmlns:ds="http://schemas.openxmlformats.org/officeDocument/2006/customXml" ds:itemID="{3E76CA9A-0C53-4ABE-94F3-0EFC29AC0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ffa3e-9a6d-4e93-8b25-b68c4a46d71b"/>
    <ds:schemaRef ds:uri="4b1e101f-329f-41d7-90f9-a8967faa8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Mirzoyan</dc:creator>
  <keywords/>
  <dc:description/>
  <lastModifiedBy>Alina Davtyan</lastModifiedBy>
  <revision>8</revision>
  <dcterms:created xsi:type="dcterms:W3CDTF">2024-11-20T07:36:00.0000000Z</dcterms:created>
  <dcterms:modified xsi:type="dcterms:W3CDTF">2024-11-20T07:36:57.9552618Z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0x010100D20C2C9C53251E4487BDAFC819441312</vt:lpwstr>
  </property>
  <property fmtid="{D5CDD505-2E9C-101B-9397-08002B2CF9AE}" pid="3" name="MediaServiceImageTags">
    <vt:lpwstr/>
  </property>
</Properties>
</file>