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EC" w:rsidRPr="007707EC" w:rsidRDefault="007707EC" w:rsidP="007707EC">
      <w:pPr>
        <w:pStyle w:val="Heading2"/>
        <w:rPr>
          <w:rStyle w:val="Heading2Char"/>
          <w:b/>
        </w:rPr>
      </w:pPr>
      <w:bookmarkStart w:id="0" w:name="_Toc70610249"/>
      <w:proofErr w:type="spellStart"/>
      <w:r w:rsidRPr="007707EC">
        <w:rPr>
          <w:rStyle w:val="Heading2Char"/>
          <w:b/>
        </w:rPr>
        <w:t>Հայտերի</w:t>
      </w:r>
      <w:proofErr w:type="spellEnd"/>
      <w:r w:rsidRPr="007707EC">
        <w:rPr>
          <w:rStyle w:val="Heading2Char"/>
          <w:b/>
        </w:rPr>
        <w:t xml:space="preserve"> </w:t>
      </w:r>
      <w:proofErr w:type="spellStart"/>
      <w:r w:rsidRPr="007707EC">
        <w:rPr>
          <w:rStyle w:val="Heading2Char"/>
          <w:b/>
        </w:rPr>
        <w:t>գնահատումը</w:t>
      </w:r>
      <w:bookmarkEnd w:id="0"/>
      <w:proofErr w:type="spellEnd"/>
    </w:p>
    <w:p w:rsidR="007707EC" w:rsidRPr="00286DC9" w:rsidRDefault="007707EC" w:rsidP="007707EC">
      <w:pPr>
        <w:shd w:val="clear" w:color="auto" w:fill="FFFFFF"/>
        <w:tabs>
          <w:tab w:val="left" w:pos="1665"/>
        </w:tabs>
        <w:spacing w:after="0" w:line="240" w:lineRule="auto"/>
        <w:jc w:val="both"/>
        <w:rPr>
          <w:rFonts w:ascii="Arial Unicode" w:hAnsi="Arial Unicode" w:cs="Arial"/>
          <w:sz w:val="24"/>
          <w:szCs w:val="24"/>
        </w:rPr>
      </w:pPr>
    </w:p>
    <w:p w:rsidR="007707EC" w:rsidRPr="008D1445" w:rsidRDefault="007707EC" w:rsidP="007707EC">
      <w:pPr>
        <w:shd w:val="clear" w:color="auto" w:fill="FFFFFF"/>
        <w:tabs>
          <w:tab w:val="left" w:pos="1665"/>
        </w:tabs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8D1445">
        <w:rPr>
          <w:rFonts w:cs="Sylfaen"/>
          <w:color w:val="000000"/>
          <w:bdr w:val="none" w:sz="0" w:space="0" w:color="auto" w:frame="1"/>
        </w:rPr>
        <w:t>Հայտերի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գնահատումը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իրականացվում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գնահատող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հանձնաժողովի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կողմից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գնահատման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թերթիկներում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(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fldChar w:fldCharType="begin"/>
      </w:r>
      <w:r w:rsidRPr="008D1445">
        <w:rPr>
          <w:rFonts w:cs="Sylfaen"/>
          <w:color w:val="000000"/>
          <w:bdr w:val="none" w:sz="0" w:space="0" w:color="auto" w:frame="1"/>
        </w:rPr>
        <w:instrText xml:space="preserve"> HYPERLINK  \l "_Հավելված_8_Գնահատման" </w:instrText>
      </w:r>
      <w:r w:rsidRPr="008D1445">
        <w:rPr>
          <w:rFonts w:cs="Sylfaen"/>
          <w:color w:val="000000"/>
          <w:bdr w:val="none" w:sz="0" w:space="0" w:color="auto" w:frame="1"/>
        </w:rPr>
      </w:r>
      <w:r w:rsidRPr="008D1445">
        <w:rPr>
          <w:rFonts w:cs="Sylfaen"/>
          <w:color w:val="000000"/>
          <w:bdr w:val="none" w:sz="0" w:space="0" w:color="auto" w:frame="1"/>
        </w:rPr>
        <w:fldChar w:fldCharType="separate"/>
      </w:r>
      <w:r w:rsidRPr="008D1445">
        <w:rPr>
          <w:color w:val="000000"/>
          <w:bdr w:val="none" w:sz="0" w:space="0" w:color="auto" w:frame="1"/>
        </w:rPr>
        <w:t>Հավելված</w:t>
      </w:r>
      <w:proofErr w:type="spellEnd"/>
      <w:r w:rsidRPr="008D1445">
        <w:rPr>
          <w:color w:val="000000"/>
          <w:bdr w:val="none" w:sz="0" w:space="0" w:color="auto" w:frame="1"/>
        </w:rPr>
        <w:t xml:space="preserve"> 8</w:t>
      </w:r>
      <w:r w:rsidRPr="008D1445">
        <w:rPr>
          <w:rFonts w:cs="Sylfaen"/>
          <w:color w:val="000000"/>
          <w:bdr w:val="none" w:sz="0" w:space="0" w:color="auto" w:frame="1"/>
        </w:rPr>
        <w:fldChar w:fldCharType="end"/>
      </w:r>
      <w:r w:rsidRPr="008D1445">
        <w:rPr>
          <w:rFonts w:cs="Sylfaen"/>
          <w:color w:val="000000"/>
          <w:bdr w:val="none" w:sz="0" w:space="0" w:color="auto" w:frame="1"/>
        </w:rPr>
        <w:t xml:space="preserve">)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համապատասխան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արդյունքներ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8D1445">
        <w:rPr>
          <w:rFonts w:cs="Sylfaen"/>
          <w:color w:val="000000"/>
          <w:bdr w:val="none" w:sz="0" w:space="0" w:color="auto" w:frame="1"/>
        </w:rPr>
        <w:t>գրանցելով</w:t>
      </w:r>
      <w:proofErr w:type="spellEnd"/>
      <w:r w:rsidRPr="008D1445">
        <w:rPr>
          <w:rFonts w:cs="Sylfaen"/>
          <w:color w:val="000000"/>
          <w:bdr w:val="none" w:sz="0" w:space="0" w:color="auto" w:frame="1"/>
        </w:rPr>
        <w:t xml:space="preserve">: </w:t>
      </w:r>
      <w:proofErr w:type="spellStart"/>
      <w:r>
        <w:rPr>
          <w:rFonts w:cs="Sylfaen"/>
          <w:color w:val="000000"/>
          <w:bdr w:val="none" w:sz="0" w:space="0" w:color="auto" w:frame="1"/>
        </w:rPr>
        <w:t>Հավելված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8-ում </w:t>
      </w:r>
      <w:proofErr w:type="spellStart"/>
      <w:r>
        <w:rPr>
          <w:rFonts w:cs="Sylfaen"/>
          <w:color w:val="000000"/>
          <w:bdr w:val="none" w:sz="0" w:space="0" w:color="auto" w:frame="1"/>
        </w:rPr>
        <w:t>ներկայացված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="Sylfaen"/>
          <w:color w:val="000000"/>
          <w:bdr w:val="none" w:sz="0" w:space="0" w:color="auto" w:frame="1"/>
        </w:rPr>
        <w:t>գնահատման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="Sylfaen"/>
          <w:color w:val="000000"/>
          <w:bdr w:val="none" w:sz="0" w:space="0" w:color="auto" w:frame="1"/>
        </w:rPr>
        <w:t>թերթիկը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cs="Sylfaen"/>
          <w:color w:val="000000"/>
          <w:bdr w:val="none" w:sz="0" w:space="0" w:color="auto" w:frame="1"/>
        </w:rPr>
        <w:t>կախված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="Sylfaen"/>
          <w:color w:val="000000"/>
          <w:bdr w:val="none" w:sz="0" w:space="0" w:color="auto" w:frame="1"/>
        </w:rPr>
        <w:t>գնման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="Sylfaen"/>
          <w:color w:val="000000"/>
          <w:bdr w:val="none" w:sz="0" w:space="0" w:color="auto" w:frame="1"/>
        </w:rPr>
        <w:t>առանձնահատկությունից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cs="Sylfaen"/>
          <w:color w:val="000000"/>
          <w:bdr w:val="none" w:sz="0" w:space="0" w:color="auto" w:frame="1"/>
        </w:rPr>
        <w:t>չափորոշիչներից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cs="Sylfaen"/>
          <w:color w:val="000000"/>
          <w:bdr w:val="none" w:sz="0" w:space="0" w:color="auto" w:frame="1"/>
        </w:rPr>
        <w:t>կարող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>
        <w:rPr>
          <w:rFonts w:cs="Sylfaen"/>
          <w:color w:val="000000"/>
          <w:bdr w:val="none" w:sz="0" w:space="0" w:color="auto" w:frame="1"/>
        </w:rPr>
        <w:t>փոփոխության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="Sylfaen"/>
          <w:color w:val="000000"/>
          <w:bdr w:val="none" w:sz="0" w:space="0" w:color="auto" w:frame="1"/>
        </w:rPr>
        <w:t>ենթարկվել</w:t>
      </w:r>
      <w:proofErr w:type="spellEnd"/>
      <w:r>
        <w:rPr>
          <w:rFonts w:cs="Sylfaen"/>
          <w:color w:val="000000"/>
          <w:bdr w:val="none" w:sz="0" w:space="0" w:color="auto" w:frame="1"/>
        </w:rPr>
        <w:t>:</w:t>
      </w:r>
    </w:p>
    <w:p w:rsidR="007707EC" w:rsidRPr="00FD26D6" w:rsidRDefault="007707EC" w:rsidP="007707EC">
      <w:pPr>
        <w:ind w:right="73"/>
        <w:jc w:val="both"/>
        <w:rPr>
          <w:rFonts w:cs="Sylfaen"/>
          <w:color w:val="000000"/>
          <w:bdr w:val="none" w:sz="0" w:space="0" w:color="auto" w:frame="1"/>
        </w:rPr>
      </w:pPr>
      <w:r w:rsidRPr="00286DC9">
        <w:rPr>
          <w:rFonts w:ascii="Arial Unicode" w:hAnsi="Arial Unicode" w:cs="Sylfaen"/>
          <w:sz w:val="24"/>
          <w:szCs w:val="24"/>
        </w:rPr>
        <w:t xml:space="preserve">        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Հանձնաժողովը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գնահատում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փաստաթղթերի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(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տեղեկությունների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)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տեխնիկական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առաջադրանքի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>/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բնութագրի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համապատաս</w:t>
      </w:r>
      <w:bookmarkStart w:id="1" w:name="_GoBack"/>
      <w:bookmarkEnd w:id="1"/>
      <w:r w:rsidRPr="00FD26D6">
        <w:rPr>
          <w:rFonts w:cs="Sylfaen"/>
          <w:color w:val="000000"/>
          <w:bdr w:val="none" w:sz="0" w:space="0" w:color="auto" w:frame="1"/>
        </w:rPr>
        <w:t>խանությունը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հրավերով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սահմանված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պահանջներին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համապատասխան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։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Բավարար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գնահատվում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հրավերով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նախատեսված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պայմաններին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համապատասխանող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հայտերը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cs="Sylfaen"/>
          <w:color w:val="000000"/>
          <w:bdr w:val="none" w:sz="0" w:space="0" w:color="auto" w:frame="1"/>
        </w:rPr>
        <w:t>իսկ</w:t>
      </w:r>
      <w:proofErr w:type="spellEnd"/>
      <w:r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="Sylfaen"/>
          <w:color w:val="000000"/>
          <w:bdr w:val="none" w:sz="0" w:space="0" w:color="auto" w:frame="1"/>
        </w:rPr>
        <w:t>եթե</w:t>
      </w:r>
      <w:proofErr w:type="spellEnd"/>
      <w:r>
        <w:t xml:space="preserve">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մասնակցի</w:t>
      </w:r>
      <w:proofErr w:type="spellEnd"/>
      <w:r>
        <w:t xml:space="preserve"> </w:t>
      </w:r>
      <w:proofErr w:type="spellStart"/>
      <w:r>
        <w:t>ներկայացրած</w:t>
      </w:r>
      <w:proofErr w:type="spellEnd"/>
      <w:r>
        <w:t xml:space="preserve"> </w:t>
      </w:r>
      <w:proofErr w:type="spellStart"/>
      <w:r>
        <w:t>փաստաթղթերը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 </w:t>
      </w:r>
      <w:proofErr w:type="spellStart"/>
      <w:r>
        <w:t>համապատասխանում</w:t>
      </w:r>
      <w:proofErr w:type="spellEnd"/>
      <w:r>
        <w:t xml:space="preserve">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հրավերով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պայմաններին</w:t>
      </w:r>
      <w:proofErr w:type="spellEnd"/>
      <w:r>
        <w:t xml:space="preserve">, </w:t>
      </w:r>
      <w:proofErr w:type="spellStart"/>
      <w:r>
        <w:t>ապա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հայտը</w:t>
      </w:r>
      <w:proofErr w:type="spellEnd"/>
      <w:r>
        <w:t xml:space="preserve"> </w:t>
      </w:r>
      <w:proofErr w:type="spellStart"/>
      <w:r>
        <w:t>մերժվում</w:t>
      </w:r>
      <w:proofErr w:type="spellEnd"/>
      <w:r>
        <w:t xml:space="preserve"> է:</w:t>
      </w:r>
    </w:p>
    <w:p w:rsidR="007707EC" w:rsidRPr="00FD26D6" w:rsidRDefault="007707EC" w:rsidP="007707EC">
      <w:pPr>
        <w:pStyle w:val="BodyTextIndent"/>
        <w:ind w:left="0"/>
        <w:jc w:val="both"/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</w:pP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Առաջին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տեղը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զբաղեցրած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Մասնակիցը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որոշվում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է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բավարար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գնահատված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հայտեր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ներկայացրած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մասնակիցներից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`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մրցունակ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գնային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առաջարկ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ներկայացրած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մասնակցին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նախապատվություն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տալու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սկզբունքով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: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Անհրաժեշտության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դեպքում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կարող</w:t>
      </w:r>
      <w:proofErr w:type="spellEnd"/>
      <w:proofErr w:type="gram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են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պահանջվել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լրացուցիչ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պարզաբանումներ</w:t>
      </w:r>
      <w:proofErr w:type="spellEnd"/>
      <w:r w:rsidRPr="00FD26D6">
        <w:rPr>
          <w:rFonts w:ascii="Calibri" w:hAnsi="Calibri" w:cs="Sylfaen"/>
          <w:color w:val="000000"/>
          <w:sz w:val="22"/>
          <w:szCs w:val="22"/>
          <w:bdr w:val="none" w:sz="0" w:space="0" w:color="auto" w:frame="1"/>
          <w:lang w:val="en-US" w:eastAsia="en-US"/>
        </w:rPr>
        <w:t>։</w:t>
      </w:r>
    </w:p>
    <w:p w:rsidR="007707EC" w:rsidRPr="00FD26D6" w:rsidRDefault="007707EC" w:rsidP="007707EC">
      <w:pPr>
        <w:shd w:val="clear" w:color="auto" w:fill="FFFFFF"/>
        <w:tabs>
          <w:tab w:val="left" w:pos="1665"/>
        </w:tabs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Հայտերի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գնահատման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արդյունքներով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կազմվում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հայտերի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գնահատման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նիստի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արձանագրություն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(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fldChar w:fldCharType="begin"/>
      </w:r>
      <w:r w:rsidRPr="00FD26D6">
        <w:rPr>
          <w:rFonts w:cs="Sylfaen"/>
          <w:color w:val="000000"/>
          <w:bdr w:val="none" w:sz="0" w:space="0" w:color="auto" w:frame="1"/>
        </w:rPr>
        <w:instrText xml:space="preserve"> HYPERLINK  \l "_Հավելված_9_Արձանագրության" </w:instrText>
      </w:r>
      <w:r w:rsidRPr="00FD26D6">
        <w:rPr>
          <w:rFonts w:cs="Sylfaen"/>
          <w:color w:val="000000"/>
          <w:bdr w:val="none" w:sz="0" w:space="0" w:color="auto" w:frame="1"/>
        </w:rPr>
      </w:r>
      <w:r w:rsidRPr="00FD26D6">
        <w:rPr>
          <w:rFonts w:cs="Sylfaen"/>
          <w:color w:val="000000"/>
          <w:bdr w:val="none" w:sz="0" w:space="0" w:color="auto" w:frame="1"/>
        </w:rPr>
        <w:fldChar w:fldCharType="separate"/>
      </w:r>
      <w:r w:rsidRPr="00FD26D6">
        <w:rPr>
          <w:color w:val="000000"/>
          <w:bdr w:val="none" w:sz="0" w:space="0" w:color="auto" w:frame="1"/>
        </w:rPr>
        <w:t>Հա</w:t>
      </w:r>
      <w:r w:rsidRPr="00FD26D6">
        <w:rPr>
          <w:color w:val="000000"/>
          <w:bdr w:val="none" w:sz="0" w:space="0" w:color="auto" w:frame="1"/>
        </w:rPr>
        <w:t>վ</w:t>
      </w:r>
      <w:r w:rsidRPr="00FD26D6">
        <w:rPr>
          <w:color w:val="000000"/>
          <w:bdr w:val="none" w:sz="0" w:space="0" w:color="auto" w:frame="1"/>
        </w:rPr>
        <w:t>ելված</w:t>
      </w:r>
      <w:proofErr w:type="spellEnd"/>
      <w:r w:rsidRPr="00FD26D6">
        <w:rPr>
          <w:color w:val="000000"/>
          <w:bdr w:val="none" w:sz="0" w:space="0" w:color="auto" w:frame="1"/>
        </w:rPr>
        <w:t xml:space="preserve"> 9</w:t>
      </w:r>
      <w:r w:rsidRPr="00FD26D6">
        <w:rPr>
          <w:rFonts w:cs="Sylfaen"/>
          <w:color w:val="000000"/>
          <w:bdr w:val="none" w:sz="0" w:space="0" w:color="auto" w:frame="1"/>
        </w:rPr>
        <w:fldChar w:fldCharType="end"/>
      </w:r>
      <w:r w:rsidRPr="00FD26D6">
        <w:rPr>
          <w:rFonts w:cs="Sylfaen"/>
          <w:color w:val="000000"/>
          <w:bdr w:val="none" w:sz="0" w:space="0" w:color="auto" w:frame="1"/>
        </w:rPr>
        <w:t xml:space="preserve">),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որը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կցվում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գնային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առաջարկի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ամփոփաթերթիկին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և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գնման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պահանջագրին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: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Արձանագրությունը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ստորագրում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հանձնաժողովի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նիստին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ներկա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անդամները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>:</w:t>
      </w:r>
    </w:p>
    <w:p w:rsidR="007707EC" w:rsidRPr="00FD26D6" w:rsidRDefault="007707EC" w:rsidP="007707EC">
      <w:pPr>
        <w:shd w:val="clear" w:color="auto" w:fill="FFFFFF"/>
        <w:tabs>
          <w:tab w:val="left" w:pos="1665"/>
        </w:tabs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</w:p>
    <w:p w:rsidR="007707EC" w:rsidRPr="00FD26D6" w:rsidRDefault="007707EC" w:rsidP="007707EC">
      <w:pPr>
        <w:ind w:right="67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Եթե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հայտում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անհամապատասխանություն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տեղ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գտել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տառերով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և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թվերով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գրված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գումարների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միջև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ապա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հիմք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ընդունվում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տառերով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գրված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գումարը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։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Եթե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առաջարկվող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գները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ներկայացված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երկու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կամ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ավելի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արժույթներով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ապա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դրանք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համեմատվում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Հայաստանի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Հանրապետության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դրամով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`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տվյալ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օրվա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համար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ՀՀ ԿԲ-ի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սահմանած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փոխարժեքով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>։</w:t>
      </w:r>
    </w:p>
    <w:p w:rsidR="007707EC" w:rsidRPr="00FD26D6" w:rsidRDefault="007707EC" w:rsidP="007707EC">
      <w:pPr>
        <w:shd w:val="clear" w:color="auto" w:fill="FFFFFF"/>
        <w:tabs>
          <w:tab w:val="left" w:pos="1665"/>
        </w:tabs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Կախված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Ապրանքի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ձեռքբերման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գնային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սահմանաչափից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Մասնակցից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հնարավոր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պահանջվել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>՝</w:t>
      </w:r>
    </w:p>
    <w:p w:rsidR="007707EC" w:rsidRPr="00FD26D6" w:rsidRDefault="007707EC" w:rsidP="007707EC">
      <w:pPr>
        <w:shd w:val="clear" w:color="auto" w:fill="FFFFFF"/>
        <w:tabs>
          <w:tab w:val="left" w:pos="1665"/>
        </w:tabs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</w:p>
    <w:p w:rsidR="007707EC" w:rsidRPr="00FD26D6" w:rsidRDefault="007707EC" w:rsidP="007707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ֆինանսական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կարողությունների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վերաբերյալ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տեղեկատվություն</w:t>
      </w:r>
      <w:proofErr w:type="spellEnd"/>
    </w:p>
    <w:p w:rsidR="007707EC" w:rsidRPr="00FD26D6" w:rsidRDefault="007707EC" w:rsidP="007707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պարզել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ներքին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շուկայում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Մասնակցի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գործունեության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վերաբերյալ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տեղեկատվություն</w:t>
      </w:r>
      <w:proofErr w:type="spellEnd"/>
    </w:p>
    <w:p w:rsidR="007707EC" w:rsidRPr="00FD26D6" w:rsidRDefault="007707EC" w:rsidP="007707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պարզել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Մասնակցի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տեխնիկական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կարողությունները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/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հնարավորությունները</w:t>
      </w:r>
      <w:proofErr w:type="spellEnd"/>
    </w:p>
    <w:p w:rsidR="007707EC" w:rsidRPr="00FD26D6" w:rsidRDefault="007707EC" w:rsidP="007707EC">
      <w:pPr>
        <w:spacing w:before="1"/>
        <w:ind w:right="68"/>
        <w:jc w:val="both"/>
        <w:rPr>
          <w:rFonts w:cs="Sylfaen"/>
          <w:color w:val="000000"/>
          <w:bdr w:val="none" w:sz="0" w:space="0" w:color="auto" w:frame="1"/>
        </w:rPr>
      </w:pPr>
    </w:p>
    <w:p w:rsidR="007707EC" w:rsidRPr="00FD26D6" w:rsidRDefault="007707EC" w:rsidP="007707EC">
      <w:pPr>
        <w:spacing w:line="260" w:lineRule="exact"/>
        <w:ind w:right="68"/>
        <w:jc w:val="both"/>
        <w:rPr>
          <w:rFonts w:cs="Sylfaen"/>
          <w:color w:val="000000"/>
          <w:bdr w:val="none" w:sz="0" w:space="0" w:color="auto" w:frame="1"/>
        </w:rPr>
      </w:pPr>
      <w:proofErr w:type="spellStart"/>
      <w:r w:rsidRPr="00FD26D6">
        <w:rPr>
          <w:rFonts w:cs="Sylfaen"/>
          <w:color w:val="000000"/>
          <w:bdr w:val="none" w:sz="0" w:space="0" w:color="auto" w:frame="1"/>
        </w:rPr>
        <w:t>Առաջին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տեղը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զբաղեցրած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Մասնակց</w:t>
      </w:r>
      <w:r>
        <w:rPr>
          <w:rFonts w:cs="Sylfaen"/>
          <w:color w:val="000000"/>
          <w:bdr w:val="none" w:sz="0" w:space="0" w:color="auto" w:frame="1"/>
        </w:rPr>
        <w:t>ի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կողմից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պայմանագիր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կնքելու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գործընթացից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հրաժարվելու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կամ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այլ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պատճառաբանմամբ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հետագա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ընթացքը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չապահովելու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դեպքում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,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նախապատվությունը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տրվում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է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Մասնակիցներից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երկրորդ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տեղը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գնային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առաջարկով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ներկայացրած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 xml:space="preserve"> </w:t>
      </w:r>
      <w:proofErr w:type="spellStart"/>
      <w:r w:rsidRPr="00FD26D6">
        <w:rPr>
          <w:rFonts w:cs="Sylfaen"/>
          <w:color w:val="000000"/>
          <w:bdr w:val="none" w:sz="0" w:space="0" w:color="auto" w:frame="1"/>
        </w:rPr>
        <w:t>Մասնակցին</w:t>
      </w:r>
      <w:proofErr w:type="spellEnd"/>
      <w:r w:rsidRPr="00FD26D6">
        <w:rPr>
          <w:rFonts w:cs="Sylfaen"/>
          <w:color w:val="000000"/>
          <w:bdr w:val="none" w:sz="0" w:space="0" w:color="auto" w:frame="1"/>
        </w:rPr>
        <w:t>:</w:t>
      </w:r>
    </w:p>
    <w:p w:rsidR="00356C95" w:rsidRDefault="00356C95"/>
    <w:sectPr w:rsidR="0035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657B"/>
    <w:multiLevelType w:val="hybridMultilevel"/>
    <w:tmpl w:val="C16E12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EC"/>
    <w:rsid w:val="00356C95"/>
    <w:rsid w:val="007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EC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707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07EC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7707EC"/>
    <w:pPr>
      <w:spacing w:after="120" w:line="240" w:lineRule="auto"/>
      <w:ind w:left="36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707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EC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707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07EC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7707EC"/>
    <w:pPr>
      <w:spacing w:after="120" w:line="240" w:lineRule="auto"/>
      <w:ind w:left="36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707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Petrosyan</dc:creator>
  <cp:lastModifiedBy>Eliza Petrosyan</cp:lastModifiedBy>
  <cp:revision>1</cp:revision>
  <dcterms:created xsi:type="dcterms:W3CDTF">2021-06-21T10:30:00Z</dcterms:created>
  <dcterms:modified xsi:type="dcterms:W3CDTF">2021-06-21T10:31:00Z</dcterms:modified>
</cp:coreProperties>
</file>