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57" w:rsidRDefault="00DD0057">
      <w:pPr>
        <w:pStyle w:val="BodyText"/>
        <w:spacing w:before="22"/>
        <w:ind w:left="3745" w:right="3900" w:firstLine="1732"/>
        <w:jc w:val="left"/>
      </w:pPr>
      <w:r>
        <w:t>ՀՐԱՎԵՐ ՀԵՏԱՔՐՔՐՈՒԹՅԱՆ ՀԱՅՏ ՆԵՐԿԱՅԱՑՆԵԼՈՒ</w:t>
      </w:r>
    </w:p>
    <w:p w:rsidR="00DD0057" w:rsidRDefault="00DD0057" w:rsidP="00FB44AE">
      <w:pPr>
        <w:pStyle w:val="Heading2"/>
        <w:spacing w:before="1"/>
        <w:ind w:left="763" w:right="924" w:firstLine="1483"/>
        <w:jc w:val="left"/>
      </w:pPr>
      <w:r>
        <w:rPr>
          <w:rFonts w:ascii="Times New Roman" w:hAnsi="Times New Roman" w:cs="Times New Roman"/>
        </w:rPr>
        <w:t>«</w:t>
      </w:r>
      <w:r>
        <w:t>Ենթակառուցվածքների և գյուղական ֆինանսավորման աջակցություն</w:t>
      </w:r>
      <w:r>
        <w:rPr>
          <w:rFonts w:ascii="Times New Roman" w:hAnsi="Times New Roman" w:cs="Times New Roman"/>
        </w:rPr>
        <w:t xml:space="preserve">» </w:t>
      </w:r>
      <w:r>
        <w:t>ծրագիր Խորհրդատվական ծառայություններ, Գենդերային հարցերի և սոցիալական ներառման մասնագետ IRFSP/TA/CQS-2020/011</w:t>
      </w:r>
    </w:p>
    <w:p w:rsidR="00DD0057" w:rsidRDefault="00DD0057">
      <w:pPr>
        <w:pStyle w:val="BodyText"/>
        <w:spacing w:before="1"/>
        <w:ind w:left="391" w:firstLine="0"/>
      </w:pPr>
      <w:r>
        <w:t>Հայաստանի Հանրապետությունը /այսուհետ` Փոխառու/ փոխառություն է ստացել Գյուղատնտեսության Զարգացման Միջազգային Հիմնադրամից /այսուհետ` ԳԶՄՀ/ "Ենթակառուցվածքների և գյուղական ֆինանսավորման աջակցություն” Ծրագիրը /այսուհետ` ԵԳՖԱԾ / իրականացնելու համար և նպատակ ունի գումարների մի մասն օգտագործել սույն խորհրդատվական ծառայությունները ձեռք բերելու համար։</w:t>
      </w:r>
    </w:p>
    <w:p w:rsidR="00DD0057" w:rsidRDefault="00DD0057">
      <w:pPr>
        <w:pStyle w:val="BodyText"/>
        <w:ind w:left="391" w:right="565" w:firstLine="100"/>
      </w:pPr>
      <w:r>
        <w:t>ԵԳՖԱ ծրագրի նպատակն է բարելավել բնակչության սոցիալ-տնտեսական կարգավիճակն ընտրված գյուղական տարածքներում, որտեղ աղքատությունը տարածված է, ստեղծելով եկամուտների աճի և զբաղվածության ապահովման կայուն հնարավորություններ՝ գյուղատնտեսական արտադրության համակարգերի և ապրանքային մշակաբույսերի արտադրության արժեշղթայի օղակների միջև առաջընթաց ու հետընթաց կապերի հզորացման ճանապարհով:</w:t>
      </w:r>
    </w:p>
    <w:p w:rsidR="00DD0057" w:rsidRDefault="00DD0057">
      <w:pPr>
        <w:pStyle w:val="BodyText"/>
        <w:ind w:left="391" w:firstLine="0"/>
      </w:pPr>
      <w:r>
        <w:t>ՀՀ ԷՆ «Գյուղական տարածքների տնտեսական զարգացման ծրագրերի իրականացման գրասենյակ» պետական հիմնարկը փնտրում է բարձր որակավորում ունեցող և մոտիվացված խորհրդատուի ԵԳՖԱԾ-ի շրջանակներում գենդերային և սոցիալական ներառման մասնագետի հաստիքի համար:</w:t>
      </w:r>
    </w:p>
    <w:p w:rsidR="00DD0057" w:rsidRDefault="00DD0057">
      <w:pPr>
        <w:pStyle w:val="BodyText"/>
        <w:ind w:left="391" w:right="567" w:firstLine="0"/>
      </w:pPr>
      <w:r>
        <w:t>Խորհրդատվության ընդհանուր նպատակն է Ծրագրի իրականացման վերջին 2 տարիների ընթացքում առավելագույնի հասցնել և էլ ավելի ամրապնդել ձեռքբերումները գենդերային հավասարության, երիտասարդների զբաղվածության և սոցիալական ներառման ոլորտում:</w:t>
      </w:r>
    </w:p>
    <w:p w:rsidR="00DD0057" w:rsidRDefault="00DD0057">
      <w:pPr>
        <w:pStyle w:val="Heading2"/>
        <w:spacing w:before="105"/>
        <w:ind w:left="391"/>
      </w:pPr>
      <w:r>
        <w:t>Խորհրդատուի հիմնական պարտականություններն են`</w:t>
      </w:r>
    </w:p>
    <w:p w:rsidR="00DD0057" w:rsidRDefault="00DD0057">
      <w:pPr>
        <w:pStyle w:val="BodyText"/>
        <w:spacing w:before="106"/>
        <w:ind w:left="391" w:right="1747" w:firstLine="0"/>
      </w:pPr>
      <w:r>
        <w:t>ԳՏՏԶ ԾԻԳ-ի տնօրենի ընդհանուր վերահսկողության ներքո ծրագրի գենդերային և սոցիալական ներառման մասնագետն աշխատանքները կիրականացնի հետևյալ վեց հիմնական ոլորտներում.</w:t>
      </w:r>
    </w:p>
    <w:p w:rsidR="00DD0057" w:rsidRDefault="00DD0057">
      <w:pPr>
        <w:pStyle w:val="Heading2"/>
        <w:spacing w:before="2"/>
        <w:ind w:left="391"/>
      </w:pPr>
      <w:r>
        <w:t>Ա. Ծրագրի իրականացում.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before="3" w:line="276" w:lineRule="auto"/>
        <w:rPr>
          <w:sz w:val="20"/>
          <w:szCs w:val="20"/>
        </w:rPr>
      </w:pPr>
      <w:r>
        <w:rPr>
          <w:sz w:val="20"/>
          <w:szCs w:val="20"/>
        </w:rPr>
        <w:t>Ծրագրի ղեկավարին, ԾԻԳ-ի մյուս անդամներին և ոլորտի պատասխանատուներին տրամադրել խորհրդատվություն և ցուցաբերել աջակցություն ծրագրային աշխատանքներում թիրախավորման, գենդերային և սոցիալական ներառման արդյունավետ ներգրավման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գործում,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Սերտորեն համագործակցելով ԾԻԳ-ի անդամների հետ` համակարգել Ծրագրի գենդերային և երիտասարդության հարցերով գործողությունների պլանի իրականացումը (GYAP` 2020 թ. հոկտեմբերի տարբերակ): Յուրաքանչյուր եռամսյակ ԾԻԳ-ին զեկուցել առաջընթացի մասին, ժամանակին բարձրաձայնել մարտահրավերների և լուծման ենթակա խնդիրների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մասին: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line="276" w:lineRule="auto"/>
        <w:ind w:right="566"/>
        <w:rPr>
          <w:sz w:val="20"/>
          <w:szCs w:val="20"/>
        </w:rPr>
      </w:pPr>
      <w:r>
        <w:rPr>
          <w:sz w:val="20"/>
          <w:szCs w:val="20"/>
        </w:rPr>
        <w:t>Աշխատել ԾԻԳ-ի բոլոր բաղադրիչների, այդ թվում` ԳԷՀ-ի բաղադրիչի մասնագետների հետ` մշտապես ուսումնասիրելու, թե յուրաքանչյուր բաղադրիչ կամ ենթաբաղադրիչ ինչպես է անդրադառնում գենդերային հարցերին, և գտնել ծրագրի իրականացումը գենդերային տեսանկյունից բարելավելու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հնարավորություններ,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line="276" w:lineRule="auto"/>
        <w:ind w:right="567"/>
        <w:rPr>
          <w:sz w:val="20"/>
          <w:szCs w:val="20"/>
        </w:rPr>
      </w:pPr>
      <w:r>
        <w:rPr>
          <w:sz w:val="20"/>
          <w:szCs w:val="20"/>
        </w:rPr>
        <w:t>Մշտապես կարծիք հայտնել և առաջարկություններ կատարել այն մասին, թե ինչպես կարելի է հասնել ծրագրի հնարավոր լավագույն արդյունքներին՝ թիրախավորման, գենդերային հավասարության և կանանց հզորացման ու սոցիալական ներառման տեսանկյունից,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line="276" w:lineRule="auto"/>
        <w:ind w:right="567"/>
        <w:rPr>
          <w:sz w:val="20"/>
          <w:szCs w:val="20"/>
        </w:rPr>
      </w:pPr>
      <w:r>
        <w:rPr>
          <w:sz w:val="20"/>
          <w:szCs w:val="20"/>
        </w:rPr>
        <w:t>Ապահովել, որ թիրախավորման և գենդերային հարցերի/երիտասարդության հետ կապված աշխատանքներն արտացոլվեն ծրագրի Տարեկան աշխատանքային պլանի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և</w:t>
      </w:r>
    </w:p>
    <w:p w:rsidR="00DD0057" w:rsidRDefault="00DD0057">
      <w:pPr>
        <w:pStyle w:val="BodyText"/>
        <w:spacing w:line="276" w:lineRule="auto"/>
        <w:ind w:right="566" w:firstLine="50"/>
      </w:pPr>
      <w:r>
        <w:t>բյուջեի կազմման գործընթացում, ծրագրի ՄևԳ համակարգում և արձանագրվեն ծրագրի առաջընթացի հաշվետվություններում,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line="276" w:lineRule="auto"/>
        <w:ind w:right="563"/>
        <w:rPr>
          <w:sz w:val="20"/>
          <w:szCs w:val="20"/>
        </w:rPr>
      </w:pPr>
      <w:r>
        <w:rPr>
          <w:sz w:val="20"/>
          <w:szCs w:val="20"/>
        </w:rPr>
        <w:t>Մասնակցել ծրագրի տարբեր բաղադրիչների շրջանակներում ծառայություն մատուցող միջազգային, ազգային և տեղական ընկերությունների համար մանրամասն ԱՊ-ների և մրցութային փաստաթղթերի մշակմանը` բոլոր բաղադրիչներին թիրախային խմբերի արդյունավետ մասնակցությունը և ծրագրի թիրախների իրականացումն ապահովելու նպատակով: Ապահովել, որ ԳԶՄՀ-ի Սոցիալական, շրջակա միջավայրի և կլիմայի գնահատման ընթացակարգերը (ՍՇՄԿԳԸ, SECAP) պատշաճ կերպով, խստորեն պահպանվեն և հարգվեն յուրաքանչյուր ծրագրային (այդ թվում` ԳԷՀ-ի կողմից ֆինանսավորվող) միջոցառում իրականացնելիս,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Ապահովել, որ գենդերային հարցերին/երիտասարդությանն ուղղված համապատասխան ծրագրային աշխտանքների ԱՊ-ներում նշված լինի առնվազն (i) կանանց/ երիտասարդության մասնակցության, աղքատության պրոֆիլի նվազագույն և թիրախային տոկոսները, (ii) թիրախների իրականացման համար անհրաժեշտ հատուկ աշխատանքները, (iii) մասնակցության վերլուծությունը` ըստ սեռի/երիտասարդության/ աղքատության պրոֆիլի, ինչպես նաև (iv) ըստ սեռի/երիտասարդության/աղքատության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պրոֆիլի</w:t>
      </w:r>
    </w:p>
    <w:p w:rsidR="00DD0057" w:rsidRDefault="00DD0057">
      <w:pPr>
        <w:spacing w:line="276" w:lineRule="auto"/>
        <w:jc w:val="both"/>
        <w:rPr>
          <w:sz w:val="20"/>
          <w:szCs w:val="20"/>
        </w:rPr>
        <w:sectPr w:rsidR="00DD0057">
          <w:type w:val="continuous"/>
          <w:pgSz w:w="12240" w:h="15840"/>
          <w:pgMar w:top="300" w:right="60" w:bottom="280" w:left="240" w:header="720" w:footer="720" w:gutter="0"/>
          <w:cols w:space="720"/>
        </w:sectPr>
      </w:pPr>
    </w:p>
    <w:p w:rsidR="00DD0057" w:rsidRDefault="00DD0057">
      <w:pPr>
        <w:pStyle w:val="BodyText"/>
        <w:spacing w:before="16" w:line="276" w:lineRule="auto"/>
        <w:ind w:right="924" w:firstLine="0"/>
        <w:jc w:val="left"/>
      </w:pPr>
      <w:r>
        <w:t>տարանջատված օգուտները/մարտահրավերները և քաղած դասերը` համաձայն ծրագրի նախագծի և տրամաբանական հենքի թիրախների,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Պայմանագրի կնքումից հետո մեկ ամսվա ընթացքում իրականացնել գենդերային հարցերի  և երիտասարդության վրա COVID-19-ի ազդեցության արագ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գնահատում:</w:t>
      </w:r>
    </w:p>
    <w:p w:rsidR="00DD0057" w:rsidRDefault="00DD0057">
      <w:pPr>
        <w:pStyle w:val="BodyText"/>
        <w:spacing w:before="13"/>
        <w:ind w:left="0" w:right="0" w:firstLine="0"/>
        <w:jc w:val="left"/>
        <w:rPr>
          <w:sz w:val="14"/>
        </w:rPr>
      </w:pPr>
    </w:p>
    <w:p w:rsidR="00DD0057" w:rsidRDefault="00DD0057">
      <w:pPr>
        <w:pStyle w:val="Heading2"/>
        <w:spacing w:line="263" w:lineRule="exact"/>
      </w:pPr>
      <w:r>
        <w:t>Բ. ՄևԳ, սոցիալական ներառման վերաբերյալ գիտելիքների կառավարում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  <w:tab w:val="left" w:pos="2441"/>
          <w:tab w:val="left" w:pos="3826"/>
          <w:tab w:val="left" w:pos="5818"/>
          <w:tab w:val="left" w:pos="7774"/>
          <w:tab w:val="left" w:pos="9232"/>
          <w:tab w:val="left" w:pos="10007"/>
        </w:tabs>
        <w:rPr>
          <w:sz w:val="20"/>
          <w:szCs w:val="20"/>
        </w:rPr>
      </w:pPr>
      <w:r>
        <w:rPr>
          <w:sz w:val="20"/>
          <w:szCs w:val="20"/>
        </w:rPr>
        <w:t>ՄևԳ/գիտելիքների կառավարման մասնագետի հետ միասին ապահովել, որ ՄևԳ համակարգն արտացոլի տարանջատված տվյալներ սեռի, երիտասարդության և սոցիալական ներառման վերաբերյալ: Բացի այդ, ներառել</w:t>
      </w:r>
      <w:r>
        <w:rPr>
          <w:sz w:val="20"/>
          <w:szCs w:val="20"/>
        </w:rPr>
        <w:tab/>
        <w:t>այնպիսի</w:t>
      </w:r>
      <w:r>
        <w:rPr>
          <w:sz w:val="20"/>
          <w:szCs w:val="20"/>
        </w:rPr>
        <w:tab/>
        <w:t>պարամետրերի</w:t>
      </w:r>
      <w:r>
        <w:rPr>
          <w:sz w:val="20"/>
          <w:szCs w:val="20"/>
        </w:rPr>
        <w:tab/>
        <w:t>վերլուծություն,</w:t>
      </w:r>
      <w:r>
        <w:rPr>
          <w:sz w:val="20"/>
          <w:szCs w:val="20"/>
        </w:rPr>
        <w:tab/>
        <w:t>ինչպիսիք</w:t>
      </w:r>
      <w:r>
        <w:rPr>
          <w:sz w:val="20"/>
          <w:szCs w:val="20"/>
        </w:rPr>
        <w:tab/>
        <w:t>են</w:t>
      </w:r>
      <w:r>
        <w:rPr>
          <w:sz w:val="20"/>
          <w:szCs w:val="20"/>
        </w:rPr>
        <w:tab/>
      </w:r>
      <w:r>
        <w:rPr>
          <w:w w:val="95"/>
          <w:sz w:val="20"/>
          <w:szCs w:val="20"/>
        </w:rPr>
        <w:t xml:space="preserve">ազդեցությունը </w:t>
      </w:r>
      <w:r>
        <w:rPr>
          <w:sz w:val="20"/>
          <w:szCs w:val="20"/>
        </w:rPr>
        <w:t>կանանց/տղամարդկանց/երիտասարդների/ աղքատության պրոֆիլների վրա տնտեսական հզորացման, որոշումների կայացման և աշխատանքային ծանրաբեռնվածության տեսանկյունից, երիտասարդների համար ստեղծված զբաղվածության վերլուծություն և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այլն,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ind w:right="563"/>
        <w:rPr>
          <w:sz w:val="20"/>
          <w:szCs w:val="20"/>
        </w:rPr>
      </w:pPr>
      <w:r>
        <w:rPr>
          <w:sz w:val="20"/>
          <w:szCs w:val="20"/>
        </w:rPr>
        <w:t>Սերտորեն համագործակցելով ՄևԳ մասնագետի հետ` մասնակցել բոլոր ուսումնասիրությունների, հետազոտությունների, այդ թվում` Ծրագրի ազդեցության վերջնական գնահատման, արդյունքների հետազոտությունների և այլ ուսումնասիրությունների համար ԱՊ-ների կազմմանը (համաձայն ԳԶՄՀ-ի ուղեցույցների)` նշելով առնվազն այնպիսի ցուցանիշներ, ինչպիսիք են ընտրանքի ձևավորման մոտեցումներում կանանց, երիտասարդների և աղքատության պրոֆիլների տոկոսը, ներառյալ մասնակցությունը ցածր լինելու դեպքում որոշ խմբերից 100% ընտրանքի ձևավորում (օրինակ՝ որոշ վարկային սխեմաների դեպքում բոլոր շահառու կանայք),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before="1"/>
        <w:ind w:right="0"/>
        <w:rPr>
          <w:sz w:val="20"/>
          <w:szCs w:val="20"/>
        </w:rPr>
      </w:pPr>
      <w:r>
        <w:rPr>
          <w:sz w:val="20"/>
          <w:szCs w:val="20"/>
        </w:rPr>
        <w:t>Մշակել և տարածել ՄևԳ, ուսուցողական և հաղորդակցման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նյութեր,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ind w:right="565"/>
        <w:rPr>
          <w:sz w:val="20"/>
          <w:szCs w:val="20"/>
        </w:rPr>
      </w:pPr>
      <w:r>
        <w:rPr>
          <w:sz w:val="20"/>
          <w:szCs w:val="20"/>
        </w:rPr>
        <w:t>Ստեղծել առնվազն երկու գիտական արտադրանք, որոնցից մեկը սեռի, մյուսը երիտասարդության վերաբերյալ՝ հիմնվելով ծրագրային փորձի վրա և անհրաժեշտության դեպքում անցկացնելով լրացուցիչ ֆոկուսխմբային քննարկումներ:</w:t>
      </w:r>
    </w:p>
    <w:p w:rsidR="00DD0057" w:rsidRDefault="00DD0057">
      <w:pPr>
        <w:pStyle w:val="BodyText"/>
        <w:spacing w:before="1"/>
        <w:ind w:left="0" w:right="0" w:firstLine="0"/>
        <w:jc w:val="left"/>
        <w:rPr>
          <w:sz w:val="15"/>
        </w:rPr>
      </w:pPr>
    </w:p>
    <w:p w:rsidR="00DD0057" w:rsidRDefault="00DD0057">
      <w:pPr>
        <w:pStyle w:val="Heading2"/>
        <w:jc w:val="left"/>
      </w:pPr>
      <w:r>
        <w:t>Գ. Կարողությունների զարգացում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before="1"/>
        <w:jc w:val="left"/>
        <w:rPr>
          <w:sz w:val="20"/>
          <w:szCs w:val="20"/>
        </w:rPr>
      </w:pPr>
      <w:r>
        <w:rPr>
          <w:sz w:val="20"/>
          <w:szCs w:val="20"/>
        </w:rPr>
        <w:t>Կատարել կարողությունների պարբերական և նպատակային գնահատում գենդերային/երիտասարդության և սոցիալական ներառման խնդիրների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վերաբերյալ,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  <w:tab w:val="left" w:pos="2234"/>
          <w:tab w:val="left" w:pos="3081"/>
          <w:tab w:val="left" w:pos="3398"/>
          <w:tab w:val="left" w:pos="5376"/>
          <w:tab w:val="left" w:pos="6377"/>
          <w:tab w:val="left" w:pos="7582"/>
          <w:tab w:val="left" w:pos="9503"/>
          <w:tab w:val="left" w:pos="10763"/>
        </w:tabs>
        <w:spacing w:before="1"/>
        <w:ind w:right="568"/>
        <w:jc w:val="left"/>
        <w:rPr>
          <w:sz w:val="20"/>
          <w:szCs w:val="20"/>
        </w:rPr>
      </w:pPr>
      <w:r>
        <w:rPr>
          <w:sz w:val="20"/>
          <w:szCs w:val="20"/>
        </w:rPr>
        <w:t>Կիրառելի</w:t>
      </w:r>
      <w:r>
        <w:rPr>
          <w:sz w:val="20"/>
          <w:szCs w:val="20"/>
        </w:rPr>
        <w:tab/>
        <w:t>լինելու</w:t>
      </w:r>
      <w:r>
        <w:rPr>
          <w:sz w:val="20"/>
          <w:szCs w:val="20"/>
        </w:rPr>
        <w:tab/>
        <w:t>և</w:t>
      </w:r>
      <w:r>
        <w:rPr>
          <w:sz w:val="20"/>
          <w:szCs w:val="20"/>
        </w:rPr>
        <w:tab/>
        <w:t>անհրաժեշտության</w:t>
      </w:r>
      <w:r>
        <w:rPr>
          <w:sz w:val="20"/>
          <w:szCs w:val="20"/>
        </w:rPr>
        <w:tab/>
        <w:t>դեպքում</w:t>
      </w:r>
      <w:r>
        <w:rPr>
          <w:sz w:val="20"/>
          <w:szCs w:val="20"/>
        </w:rPr>
        <w:tab/>
        <w:t>ապահովել</w:t>
      </w:r>
      <w:r>
        <w:rPr>
          <w:sz w:val="20"/>
          <w:szCs w:val="20"/>
        </w:rPr>
        <w:tab/>
        <w:t>կարողությունների</w:t>
      </w:r>
      <w:r>
        <w:rPr>
          <w:sz w:val="20"/>
          <w:szCs w:val="20"/>
        </w:rPr>
        <w:tab/>
        <w:t>զարգացում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 xml:space="preserve">ԾԻԳ-ի </w:t>
      </w:r>
      <w:r>
        <w:rPr>
          <w:sz w:val="20"/>
          <w:szCs w:val="20"/>
        </w:rPr>
        <w:t>աշխատակազմի, իրականացնող գործընկերների, ծառայություն մատուցողների և շահառուների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համար:</w:t>
      </w:r>
    </w:p>
    <w:p w:rsidR="00DD0057" w:rsidRDefault="00DD0057">
      <w:pPr>
        <w:pStyle w:val="BodyText"/>
        <w:spacing w:before="1"/>
        <w:ind w:left="0" w:right="0" w:firstLine="0"/>
        <w:jc w:val="left"/>
        <w:rPr>
          <w:sz w:val="15"/>
        </w:rPr>
      </w:pPr>
    </w:p>
    <w:p w:rsidR="00DD0057" w:rsidRDefault="00DD0057">
      <w:pPr>
        <w:pStyle w:val="Heading2"/>
      </w:pPr>
      <w:r>
        <w:t>Դ. Հաղորդակցում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ind w:right="567"/>
        <w:rPr>
          <w:sz w:val="20"/>
          <w:szCs w:val="20"/>
        </w:rPr>
      </w:pPr>
      <w:r>
        <w:rPr>
          <w:sz w:val="20"/>
          <w:szCs w:val="20"/>
        </w:rPr>
        <w:t>Կապ հաստատել ԳԶՄՀ-ի հայաստանյան ծրագրի և գենդերային հարցերով զբաղվող թիմերի հետ` իրականացման, գիտելիքների փոխանակման և այլ ասպեկտներում գենդերային հարցերի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վերաբերյալ,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before="2"/>
        <w:ind w:right="565"/>
        <w:rPr>
          <w:sz w:val="20"/>
          <w:szCs w:val="20"/>
        </w:rPr>
      </w:pPr>
      <w:r>
        <w:rPr>
          <w:sz w:val="20"/>
          <w:szCs w:val="20"/>
        </w:rPr>
        <w:t>Միջնորդ հանդիսանալ ծրագրի և կառավարությունում, իրականացնող կառույցներում, զարգացման այլ ծրագրերում ու ԳԶՄՀ-ում գենդերային խնդիրների ոլորտում աշխատող անձանց միջև հաղորդակցության համար,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rPr>
          <w:sz w:val="20"/>
          <w:szCs w:val="20"/>
        </w:rPr>
      </w:pPr>
      <w:r>
        <w:rPr>
          <w:sz w:val="20"/>
          <w:szCs w:val="20"/>
        </w:rPr>
        <w:t>Օգնել ԾԻԳ-ի անձնակազմի համար գենդերային հարցերի վերաբերյալ անհրաժեշտ տեղեկությունների հասանելիություն ապահովելու հարցում և տեղեկացնել լավագույն փորձի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մասին,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line="242" w:lineRule="auto"/>
        <w:ind w:right="567"/>
        <w:rPr>
          <w:sz w:val="20"/>
          <w:szCs w:val="20"/>
        </w:rPr>
      </w:pPr>
      <w:r>
        <w:rPr>
          <w:sz w:val="20"/>
          <w:szCs w:val="20"/>
        </w:rPr>
        <w:t>Հավաքել և ներկայացնել ապացույցների վրա հիմնված տեղեկություններ գենդերային հավասարության, կանանց հզորացման և երիտասարդության ներառման լավագույն փորձի վերաբերյալ:</w:t>
      </w:r>
    </w:p>
    <w:p w:rsidR="00DD0057" w:rsidRDefault="00DD0057">
      <w:pPr>
        <w:pStyle w:val="BodyText"/>
        <w:spacing w:before="9"/>
        <w:ind w:left="0" w:right="0" w:firstLine="0"/>
        <w:jc w:val="left"/>
        <w:rPr>
          <w:sz w:val="14"/>
        </w:rPr>
      </w:pPr>
    </w:p>
    <w:p w:rsidR="00DD0057" w:rsidRDefault="00DD0057">
      <w:pPr>
        <w:pStyle w:val="Heading2"/>
      </w:pPr>
      <w:r>
        <w:t>Ե. Իրազեկում և կապերի հաստատում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spacing w:before="1"/>
        <w:ind w:right="563"/>
        <w:rPr>
          <w:sz w:val="20"/>
          <w:szCs w:val="20"/>
        </w:rPr>
      </w:pPr>
      <w:r>
        <w:rPr>
          <w:sz w:val="20"/>
          <w:szCs w:val="20"/>
        </w:rPr>
        <w:t>Կապեր հաստատել գենդերային, կանանց կամ սոցիալական ներառմանն ուղղված այլ ծրագրերի հետ, որոնք իրականացվում են ազգային, միջազգային և միջպետական կառույցների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կողմից,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ind w:right="565"/>
        <w:rPr>
          <w:sz w:val="20"/>
          <w:szCs w:val="20"/>
        </w:rPr>
      </w:pPr>
      <w:r>
        <w:rPr>
          <w:sz w:val="20"/>
          <w:szCs w:val="20"/>
        </w:rPr>
        <w:t>Ներկայացնել ապացույցների վրա հիմնված տեղեկություններ գենդերային հավասարության և կանանց հզորացման լավագույն փորձի վերաբերյալ և տարածել դրանք համապատասխան ֆորումներում,</w:t>
      </w:r>
    </w:p>
    <w:p w:rsidR="00DD0057" w:rsidRDefault="00DD0057">
      <w:pPr>
        <w:pStyle w:val="ListParagraph"/>
        <w:numPr>
          <w:ilvl w:val="0"/>
          <w:numId w:val="2"/>
        </w:numPr>
        <w:tabs>
          <w:tab w:val="left" w:pos="1112"/>
        </w:tabs>
        <w:rPr>
          <w:sz w:val="20"/>
          <w:szCs w:val="20"/>
        </w:rPr>
      </w:pPr>
      <w:r>
        <w:rPr>
          <w:sz w:val="20"/>
          <w:szCs w:val="20"/>
        </w:rPr>
        <w:t>Կատարել կարողությունների պարբերական գնահատում գենդերային և սոցիալական ներառման խնդիրների վերաբերյալ և ապահովել կարողությունների զարգացում դաշտային այցելությունների մակարդակով ԾԻԳ-ի աշխատակազմի, իրականացնող գործընկերների և ծառայություն մատուցողների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համար:</w:t>
      </w:r>
    </w:p>
    <w:p w:rsidR="00DD0057" w:rsidRDefault="00DD0057">
      <w:pPr>
        <w:pStyle w:val="BodyText"/>
        <w:spacing w:before="1"/>
        <w:ind w:left="0" w:right="0" w:firstLine="0"/>
        <w:jc w:val="left"/>
        <w:rPr>
          <w:sz w:val="15"/>
        </w:rPr>
      </w:pPr>
    </w:p>
    <w:p w:rsidR="00DD0057" w:rsidRDefault="00DD0057">
      <w:pPr>
        <w:pStyle w:val="Heading2"/>
        <w:spacing w:before="1"/>
        <w:ind w:right="562"/>
      </w:pPr>
      <w:r>
        <w:t>Զ. ԳԶՄՀ Սոցիալական, շրջակա միջավայրի և կլիմայի գնահատման ընթացակարգեր (ՍՇՄԿԳԸ, SECAP) և ԳԶՄՀ քաղաքականություն սեռական ոտնձգությունը, սեռական շահագործումն ու բռնությունը կանխելու և դրանց արձագանքելու վերաբերյալ</w:t>
      </w:r>
    </w:p>
    <w:p w:rsidR="00DD0057" w:rsidRDefault="00DD0057">
      <w:pPr>
        <w:pStyle w:val="ListParagraph"/>
        <w:numPr>
          <w:ilvl w:val="1"/>
          <w:numId w:val="2"/>
        </w:numPr>
        <w:tabs>
          <w:tab w:val="left" w:pos="1832"/>
        </w:tabs>
        <w:spacing w:before="4" w:line="276" w:lineRule="auto"/>
        <w:ind w:right="567"/>
        <w:rPr>
          <w:sz w:val="20"/>
          <w:szCs w:val="20"/>
        </w:rPr>
      </w:pPr>
      <w:r>
        <w:rPr>
          <w:sz w:val="20"/>
          <w:szCs w:val="20"/>
        </w:rPr>
        <w:t>Օգնել Ծրագրի աշխատակիցներին, որպեսզի տեղյակ լինեն և խստորեն հետևեն ՍՇՄԿԳԸ-ի սոցիալական կողմերին և սեռական ոտնձգությունը, սեռական շահագործումն ու բռնությունը կանխելու և դրանց արձագանքելու վերաբերյալ ԳԶՄՀ-ի քաղաքականությանը: Դրանց խստորեն պահպանումը պետք է տարածվի ԵԳՖԱԾ-ի բոլոր աշխատանքների վրա:Արձանագրել ծրագրի բոլոր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աշխատանքները`</w:t>
      </w:r>
    </w:p>
    <w:p w:rsidR="00DD0057" w:rsidRDefault="00DD0057">
      <w:pPr>
        <w:spacing w:line="276" w:lineRule="auto"/>
        <w:jc w:val="both"/>
        <w:rPr>
          <w:sz w:val="20"/>
          <w:szCs w:val="20"/>
        </w:rPr>
        <w:sectPr w:rsidR="00DD0057">
          <w:pgSz w:w="12240" w:h="15840"/>
          <w:pgMar w:top="80" w:right="60" w:bottom="280" w:left="240" w:header="720" w:footer="720" w:gutter="0"/>
          <w:cols w:space="720"/>
        </w:sectPr>
      </w:pPr>
    </w:p>
    <w:p w:rsidR="00DD0057" w:rsidRDefault="00DD0057">
      <w:pPr>
        <w:pStyle w:val="BodyText"/>
        <w:spacing w:before="16" w:line="276" w:lineRule="auto"/>
        <w:ind w:left="1831" w:firstLine="0"/>
      </w:pPr>
      <w:r>
        <w:t>ուղղված ՍՇՄԿԳԸ պահանջների բավարարմանը, և ապահովել, որ համապատասխան սոցիալական և շրջակա միջավայրի մոնիտորինգի տվյալները ներառվեն ծառայություն մատուցողներին (խորհրդատուներ, հասարակական կազմակերպություններ, խորհրդատվական ընկերություններ և այլն) ներկայացվող հաշվետվական պահանջներում,</w:t>
      </w:r>
    </w:p>
    <w:p w:rsidR="00DD0057" w:rsidRDefault="00DD0057">
      <w:pPr>
        <w:pStyle w:val="ListParagraph"/>
        <w:numPr>
          <w:ilvl w:val="1"/>
          <w:numId w:val="2"/>
        </w:numPr>
        <w:tabs>
          <w:tab w:val="left" w:pos="1832"/>
        </w:tabs>
        <w:spacing w:line="276" w:lineRule="auto"/>
        <w:ind w:right="566"/>
        <w:rPr>
          <w:sz w:val="20"/>
          <w:szCs w:val="20"/>
        </w:rPr>
      </w:pPr>
      <w:r>
        <w:rPr>
          <w:sz w:val="20"/>
          <w:szCs w:val="20"/>
        </w:rPr>
        <w:t>Սերտորեն համագործակցելով ԾԻԳ-ի և ՄևԳ մասնագետի հետ` ապահովել, որ ազդեցության վերջնական գնահատումը, բացի համապատասխան Արդյունքների և ազդեցության կառավարման համակարգից (ԱԱՀԿ, RIMS), ներառի նաև որոշ լրացուցիչ ցուցանիշներ, որոնք կարտացոլեն ծրագրի առաջընթացը և ԵԳՖԱԾ-ի սոցիալական և շրջակա միջավայրի վրա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ազդեցությունները:</w:t>
      </w:r>
    </w:p>
    <w:p w:rsidR="00DD0057" w:rsidRDefault="00DD0057">
      <w:pPr>
        <w:pStyle w:val="ListParagraph"/>
        <w:numPr>
          <w:ilvl w:val="1"/>
          <w:numId w:val="2"/>
        </w:numPr>
        <w:tabs>
          <w:tab w:val="left" w:pos="1832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Սերտորեն համագործակցել ԳԶՄՀ-ի գլխավոր գրասենյակի ՍՇՄԿԳԸ/սոցիալական ներառման փորձագետների հետ` ծագած ցանկացած խնդրի լուծման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համար:</w:t>
      </w:r>
    </w:p>
    <w:p w:rsidR="00DD0057" w:rsidRDefault="00DD0057">
      <w:pPr>
        <w:pStyle w:val="BodyText"/>
        <w:spacing w:before="13"/>
        <w:ind w:left="0" w:right="0" w:firstLine="0"/>
        <w:jc w:val="left"/>
        <w:rPr>
          <w:sz w:val="14"/>
        </w:rPr>
      </w:pPr>
    </w:p>
    <w:p w:rsidR="00DD0057" w:rsidRDefault="00DD0057">
      <w:pPr>
        <w:pStyle w:val="Heading2"/>
        <w:ind w:left="391"/>
      </w:pPr>
      <w:r>
        <w:t>Ընտրության չափանիշները և միավորները հետևյալն են`</w:t>
      </w:r>
    </w:p>
    <w:p w:rsidR="00DD0057" w:rsidRDefault="00DD0057">
      <w:pPr>
        <w:pStyle w:val="BodyText"/>
        <w:spacing w:before="9"/>
        <w:ind w:left="0" w:right="0" w:firstLine="0"/>
        <w:jc w:val="left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24"/>
        <w:gridCol w:w="1080"/>
      </w:tblGrid>
      <w:tr w:rsidR="00DD0057">
        <w:trPr>
          <w:trHeight w:val="503"/>
        </w:trPr>
        <w:tc>
          <w:tcPr>
            <w:tcW w:w="10624" w:type="dxa"/>
          </w:tcPr>
          <w:p w:rsidR="00DD0057" w:rsidRDefault="00DD0057">
            <w:pPr>
              <w:pStyle w:val="TableParagraph"/>
              <w:spacing w:before="5"/>
              <w:ind w:left="4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Չափանիշ</w:t>
            </w:r>
          </w:p>
        </w:tc>
        <w:tc>
          <w:tcPr>
            <w:tcW w:w="1080" w:type="dxa"/>
          </w:tcPr>
          <w:p w:rsidR="00DD0057" w:rsidRDefault="00DD0057">
            <w:pPr>
              <w:pStyle w:val="TableParagraph"/>
              <w:spacing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Միավոր</w:t>
            </w:r>
          </w:p>
        </w:tc>
      </w:tr>
      <w:tr w:rsidR="00DD0057">
        <w:trPr>
          <w:trHeight w:val="767"/>
        </w:trPr>
        <w:tc>
          <w:tcPr>
            <w:tcW w:w="10624" w:type="dxa"/>
          </w:tcPr>
          <w:p w:rsidR="00DD0057" w:rsidRDefault="00DD0057">
            <w:pPr>
              <w:pStyle w:val="TableParagraph"/>
              <w:spacing w:before="5"/>
              <w:ind w:left="107" w:right="5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Մագիստրոսի կոչում սոցիալական գիտությունների, գենդերային հարցերի կամ առաջադրանքին առնչվող այլ համապատասխան բնագավառում</w:t>
            </w:r>
          </w:p>
        </w:tc>
        <w:tc>
          <w:tcPr>
            <w:tcW w:w="1080" w:type="dxa"/>
          </w:tcPr>
          <w:p w:rsidR="00DD0057" w:rsidRDefault="00DD00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D0057">
        <w:trPr>
          <w:trHeight w:val="504"/>
        </w:trPr>
        <w:tc>
          <w:tcPr>
            <w:tcW w:w="10624" w:type="dxa"/>
          </w:tcPr>
          <w:p w:rsidR="00DD0057" w:rsidRDefault="00DD0057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Միջազգային կազմակերպությունների հետ աշխատանքի առնվազն երկու տարվա փորձ</w:t>
            </w:r>
          </w:p>
        </w:tc>
        <w:tc>
          <w:tcPr>
            <w:tcW w:w="1080" w:type="dxa"/>
          </w:tcPr>
          <w:p w:rsidR="00DD0057" w:rsidRDefault="00DD0057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D0057">
        <w:trPr>
          <w:trHeight w:val="767"/>
        </w:trPr>
        <w:tc>
          <w:tcPr>
            <w:tcW w:w="10624" w:type="dxa"/>
          </w:tcPr>
          <w:p w:rsidR="00DD0057" w:rsidRDefault="00DD0057">
            <w:pPr>
              <w:pStyle w:val="TableParagraph"/>
              <w:ind w:left="107" w:right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Գենդերային և սոցիալական ներառման, այդ թվում` երաշխիքների ոլորտում առնվազն երեք տարվա փորձ, որից առնվազն 2-ը` Հայաստանում,</w:t>
            </w:r>
          </w:p>
        </w:tc>
        <w:tc>
          <w:tcPr>
            <w:tcW w:w="1080" w:type="dxa"/>
          </w:tcPr>
          <w:p w:rsidR="00DD0057" w:rsidRDefault="00DD00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DD0057">
        <w:trPr>
          <w:trHeight w:val="503"/>
        </w:trPr>
        <w:tc>
          <w:tcPr>
            <w:tcW w:w="10624" w:type="dxa"/>
          </w:tcPr>
          <w:p w:rsidR="00DD0057" w:rsidRDefault="00DD005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Միջազգային, դոնոր, բարեգործական և զարգացման կազմակերպությունների հետ համագործակցության փորձ,</w:t>
            </w:r>
          </w:p>
        </w:tc>
        <w:tc>
          <w:tcPr>
            <w:tcW w:w="1080" w:type="dxa"/>
          </w:tcPr>
          <w:p w:rsidR="00DD0057" w:rsidRDefault="00DD005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D0057">
        <w:trPr>
          <w:trHeight w:val="501"/>
        </w:trPr>
        <w:tc>
          <w:tcPr>
            <w:tcW w:w="10624" w:type="dxa"/>
          </w:tcPr>
          <w:p w:rsidR="00DD0057" w:rsidRDefault="00DD005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Ցուցադրական և տեղեկատվական նյութերի մշակման ու ներկայացման հմտություններ,</w:t>
            </w:r>
          </w:p>
        </w:tc>
        <w:tc>
          <w:tcPr>
            <w:tcW w:w="1080" w:type="dxa"/>
          </w:tcPr>
          <w:p w:rsidR="00DD0057" w:rsidRDefault="00DD005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D0057">
        <w:trPr>
          <w:trHeight w:val="1031"/>
        </w:trPr>
        <w:tc>
          <w:tcPr>
            <w:tcW w:w="10624" w:type="dxa"/>
          </w:tcPr>
          <w:p w:rsidR="00DD0057" w:rsidRDefault="00DD0057">
            <w:pPr>
              <w:pStyle w:val="TableParagraph"/>
              <w:spacing w:before="5"/>
              <w:ind w:left="107" w:right="4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Գյուղական զարգացման վերաբերյալ հիմնավոր պատկերացում, մասնակցային գործընթացների և մեթոդների հետ աշխատանքի, շահագրգիռ կողմերին տրամադրված խորհրդատվության, համատեղ կառավարման, գենդերային և երիտասարդության/սոցիալական ներառման ոլորտում ապացուցելի փորձ,</w:t>
            </w:r>
          </w:p>
        </w:tc>
        <w:tc>
          <w:tcPr>
            <w:tcW w:w="1080" w:type="dxa"/>
          </w:tcPr>
          <w:p w:rsidR="00DD0057" w:rsidRDefault="00DD005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DD0057">
        <w:trPr>
          <w:trHeight w:val="765"/>
        </w:trPr>
        <w:tc>
          <w:tcPr>
            <w:tcW w:w="10624" w:type="dxa"/>
          </w:tcPr>
          <w:p w:rsidR="00DD0057" w:rsidRDefault="00DD0057">
            <w:pPr>
              <w:pStyle w:val="TableParagraph"/>
              <w:ind w:left="107" w:right="14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Հայերենի և անգլերենի գերազանց իմացություն (բանավոր և գրավոր), երկու լեզուներով գերազանց հաղորդակցվելու կարողություն,</w:t>
            </w:r>
          </w:p>
        </w:tc>
        <w:tc>
          <w:tcPr>
            <w:tcW w:w="1080" w:type="dxa"/>
          </w:tcPr>
          <w:p w:rsidR="00DD0057" w:rsidRDefault="00DD005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D0057">
        <w:trPr>
          <w:trHeight w:val="505"/>
        </w:trPr>
        <w:tc>
          <w:tcPr>
            <w:tcW w:w="10624" w:type="dxa"/>
          </w:tcPr>
          <w:p w:rsidR="00DD0057" w:rsidRDefault="00DD0057">
            <w:pPr>
              <w:pStyle w:val="TableParagraph"/>
              <w:spacing w:before="5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Office-ի (Word, Excel, Power Point, և այլն) իմացություն, համացանցից օգտվելու հմտություններ:</w:t>
            </w:r>
          </w:p>
        </w:tc>
        <w:tc>
          <w:tcPr>
            <w:tcW w:w="1080" w:type="dxa"/>
          </w:tcPr>
          <w:p w:rsidR="00DD0057" w:rsidRDefault="00DD0057"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DD0057" w:rsidRDefault="00DD0057">
      <w:pPr>
        <w:pStyle w:val="BodyText"/>
        <w:spacing w:before="2"/>
        <w:ind w:left="751" w:right="567" w:firstLine="0"/>
      </w:pPr>
      <w:r>
        <w:t>Ծրագիրը իրականացնելու նպատակով ԾԻԳ-ը հրավիրում է իրավասու խորհրդատուներին ներկայացնելու իրենց հետաքրքրության հայտերը, որպեսզի մասնակցեն առաջիկա մրցույթին վերոնշված ծառայությունների մատուցման համար:</w:t>
      </w:r>
    </w:p>
    <w:p w:rsidR="00DD0057" w:rsidRDefault="00DD0057">
      <w:pPr>
        <w:pStyle w:val="BodyText"/>
        <w:ind w:left="751" w:right="568" w:firstLine="60"/>
      </w:pPr>
      <w:r>
        <w:t>Ծառայությունների տևողություն՝ 12 ամիս, երկարացման հնարավորությամբ՝ կախված աշխատանքի արդյունքներից և բյուջեի առկայությունից:</w:t>
      </w:r>
    </w:p>
    <w:p w:rsidR="00DD0057" w:rsidRDefault="00DD0057">
      <w:pPr>
        <w:pStyle w:val="BodyText"/>
        <w:spacing w:line="262" w:lineRule="exact"/>
        <w:ind w:left="796" w:right="0" w:firstLine="0"/>
      </w:pPr>
      <w:r>
        <w:t>Հետաքրքրված խորհրդատուները պետք է ներկայացնեն`</w:t>
      </w:r>
    </w:p>
    <w:p w:rsidR="00DD0057" w:rsidRDefault="00DD0057">
      <w:pPr>
        <w:pStyle w:val="ListParagraph"/>
        <w:numPr>
          <w:ilvl w:val="0"/>
          <w:numId w:val="1"/>
        </w:numPr>
        <w:tabs>
          <w:tab w:val="left" w:pos="1518"/>
        </w:tabs>
        <w:ind w:right="0" w:hanging="361"/>
        <w:rPr>
          <w:sz w:val="20"/>
          <w:szCs w:val="20"/>
        </w:rPr>
      </w:pPr>
      <w:r>
        <w:rPr>
          <w:sz w:val="20"/>
          <w:szCs w:val="20"/>
        </w:rPr>
        <w:t>Դիմում ԾԻԳ-ի տնօրենի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անունով;</w:t>
      </w:r>
    </w:p>
    <w:p w:rsidR="00DD0057" w:rsidRDefault="00DD0057">
      <w:pPr>
        <w:pStyle w:val="ListParagraph"/>
        <w:numPr>
          <w:ilvl w:val="0"/>
          <w:numId w:val="1"/>
        </w:numPr>
        <w:tabs>
          <w:tab w:val="left" w:pos="1518"/>
        </w:tabs>
        <w:spacing w:before="1"/>
        <w:ind w:right="562"/>
        <w:rPr>
          <w:sz w:val="20"/>
          <w:szCs w:val="20"/>
        </w:rPr>
      </w:pPr>
      <w:r>
        <w:rPr>
          <w:sz w:val="20"/>
          <w:szCs w:val="20"/>
        </w:rPr>
        <w:t>Ինքնակենսագրական սեղմագրեր (CVs) անգլերեն և հայերեն լեզուներով, որոնք ներառում են տեղեկատվություն Ծառայությունների իրականացման համար պահանջվող որակավորման և համապատասխան փորձի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վերաբերյալ:</w:t>
      </w:r>
    </w:p>
    <w:p w:rsidR="00DD0057" w:rsidRDefault="00DD0057">
      <w:pPr>
        <w:ind w:left="391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Ընտրության եղանակն է` </w:t>
      </w:r>
      <w:r>
        <w:rPr>
          <w:b/>
          <w:bCs/>
          <w:sz w:val="20"/>
          <w:szCs w:val="20"/>
        </w:rPr>
        <w:t>Ընտրություն Խորհրդատուի Որակավորման հիման վրա (CQS)</w:t>
      </w:r>
    </w:p>
    <w:p w:rsidR="00DD0057" w:rsidRDefault="00DD0057">
      <w:pPr>
        <w:pStyle w:val="BodyText"/>
        <w:spacing w:before="1"/>
        <w:ind w:left="391" w:right="563" w:firstLine="720"/>
      </w:pPr>
      <w:r>
        <w:t xml:space="preserve">Խորհրդատուն ընտրվելու է ԳԶՄՀ-ի կողմից 2010թ. </w:t>
      </w:r>
      <w:hyperlink r:id="rId5">
        <w:r>
          <w:t>/https://www.ifad.org/documents/10180/cd15e696-26e2-45df-</w:t>
        </w:r>
      </w:hyperlink>
      <w:r>
        <w:t xml:space="preserve"> </w:t>
      </w:r>
      <w:hyperlink r:id="rId6">
        <w:r>
          <w:t>abcc-3d4611a9a20b</w:t>
        </w:r>
      </w:hyperlink>
      <w:r>
        <w:t xml:space="preserve">/ սեպտեմբերին հրապարակված Գնումների ուղեցույցով և ձեռնարկով սահմանված ընթացակարգերի համաձայն։ Առաջադրանքի պայմանները հրապարակված են </w:t>
      </w:r>
      <w:hyperlink r:id="rId7">
        <w:r>
          <w:rPr>
            <w:rFonts w:ascii="Times New Roman" w:hAnsi="Times New Roman" w:cs="Times New Roman"/>
            <w:color w:val="0000FF"/>
            <w:u w:val="single" w:color="0000FF"/>
          </w:rPr>
          <w:t>https://raed.am/procurement/adstatements.html</w:t>
        </w:r>
      </w:hyperlink>
      <w:r>
        <w:rPr>
          <w:rFonts w:ascii="Times New Roman" w:hAnsi="Times New Roman" w:cs="Times New Roman"/>
          <w:color w:val="0000FF"/>
        </w:rPr>
        <w:t xml:space="preserve"> </w:t>
      </w:r>
      <w:r>
        <w:t xml:space="preserve">կայքում: Լրացուցիչ տեղեկությունների համար խնդրում ենք գրել </w:t>
      </w:r>
      <w:hyperlink r:id="rId8">
        <w:r>
          <w:rPr>
            <w:rFonts w:ascii="Calibri" w:hAnsi="Calibri" w:cs="Calibri"/>
            <w:color w:val="0000FF"/>
            <w:u w:val="single" w:color="0000FF"/>
          </w:rPr>
          <w:t>procurement@raed.am</w:t>
        </w:r>
      </w:hyperlink>
      <w:r>
        <w:rPr>
          <w:rFonts w:ascii="Calibri" w:hAnsi="Calibri" w:cs="Calibri"/>
          <w:color w:val="0000FF"/>
        </w:rPr>
        <w:t xml:space="preserve"> </w:t>
      </w:r>
      <w:r>
        <w:t>հասցեով ժամը 09.00-18.00։</w:t>
      </w:r>
    </w:p>
    <w:p w:rsidR="00DD0057" w:rsidRDefault="00DD0057">
      <w:pPr>
        <w:pStyle w:val="BodyText"/>
        <w:ind w:right="0" w:firstLine="0"/>
      </w:pPr>
      <w:r>
        <w:t>Հետաքրքրության հայտերը պետք է ներկայացնել նշված հասցեով մինչև 2020թ. Դեկտեմբերի 2</w:t>
      </w:r>
      <w:r>
        <w:rPr>
          <w:lang w:val="ru-RU"/>
        </w:rPr>
        <w:t>3</w:t>
      </w:r>
      <w:r>
        <w:t>-ը, ժ.18.00։</w:t>
      </w:r>
    </w:p>
    <w:p w:rsidR="00DD0057" w:rsidRDefault="00DD0057">
      <w:pPr>
        <w:pStyle w:val="Heading1"/>
        <w:spacing w:before="104" w:line="228" w:lineRule="auto"/>
        <w:ind w:right="2877"/>
      </w:pPr>
      <w:r>
        <w:t>ՀՀ</w:t>
      </w:r>
      <w:r>
        <w:rPr>
          <w:spacing w:val="-35"/>
        </w:rPr>
        <w:t xml:space="preserve"> </w:t>
      </w:r>
      <w:r>
        <w:t>ԷՆ</w:t>
      </w:r>
      <w:r>
        <w:rPr>
          <w:spacing w:val="-33"/>
        </w:rPr>
        <w:t xml:space="preserve"> </w:t>
      </w:r>
      <w:r>
        <w:rPr>
          <w:spacing w:val="-3"/>
        </w:rPr>
        <w:t>“Գյուղական</w:t>
      </w:r>
      <w:r>
        <w:rPr>
          <w:spacing w:val="-17"/>
        </w:rPr>
        <w:t xml:space="preserve"> </w:t>
      </w:r>
      <w:r>
        <w:rPr>
          <w:spacing w:val="-3"/>
        </w:rPr>
        <w:t>տարածքների</w:t>
      </w:r>
      <w:r>
        <w:rPr>
          <w:spacing w:val="-34"/>
        </w:rPr>
        <w:t xml:space="preserve"> </w:t>
      </w:r>
      <w:r>
        <w:rPr>
          <w:spacing w:val="-3"/>
        </w:rPr>
        <w:t>տնտեսական</w:t>
      </w:r>
      <w:r>
        <w:rPr>
          <w:spacing w:val="-34"/>
        </w:rPr>
        <w:t xml:space="preserve"> </w:t>
      </w:r>
      <w:r>
        <w:t>զարգացման</w:t>
      </w:r>
      <w:r>
        <w:rPr>
          <w:spacing w:val="-35"/>
        </w:rPr>
        <w:t xml:space="preserve"> </w:t>
      </w:r>
      <w:r>
        <w:t xml:space="preserve">ծրագրերի </w:t>
      </w:r>
      <w:r>
        <w:rPr>
          <w:spacing w:val="-3"/>
        </w:rPr>
        <w:t xml:space="preserve">իրականացման </w:t>
      </w:r>
      <w:r>
        <w:t>գրասենյակ”</w:t>
      </w:r>
      <w:r>
        <w:rPr>
          <w:spacing w:val="-9"/>
        </w:rPr>
        <w:t xml:space="preserve"> </w:t>
      </w:r>
      <w:r>
        <w:rPr>
          <w:spacing w:val="-3"/>
        </w:rPr>
        <w:t>ՊՀ</w:t>
      </w:r>
    </w:p>
    <w:p w:rsidR="00DD0057" w:rsidRDefault="00DD0057">
      <w:pPr>
        <w:spacing w:line="262" w:lineRule="exact"/>
        <w:ind w:left="2702" w:right="2874"/>
        <w:jc w:val="center"/>
        <w:rPr>
          <w:b/>
          <w:bCs/>
          <w:i/>
          <w:sz w:val="21"/>
          <w:szCs w:val="21"/>
        </w:rPr>
      </w:pPr>
      <w:r>
        <w:rPr>
          <w:b/>
          <w:bCs/>
          <w:i/>
          <w:sz w:val="21"/>
          <w:szCs w:val="21"/>
        </w:rPr>
        <w:t>Տնօրեն` Աշոտ Վարդանյան</w:t>
      </w:r>
    </w:p>
    <w:p w:rsidR="00DD0057" w:rsidRDefault="00DD0057">
      <w:pPr>
        <w:spacing w:before="4" w:line="228" w:lineRule="auto"/>
        <w:ind w:left="1966" w:right="4011" w:firstLine="1884"/>
        <w:rPr>
          <w:b/>
          <w:bCs/>
          <w:i/>
          <w:sz w:val="21"/>
          <w:szCs w:val="21"/>
        </w:rPr>
      </w:pPr>
      <w:r>
        <w:rPr>
          <w:b/>
          <w:bCs/>
          <w:i/>
          <w:sz w:val="21"/>
          <w:szCs w:val="21"/>
        </w:rPr>
        <w:t>Հասցե`</w:t>
      </w:r>
      <w:r>
        <w:rPr>
          <w:b/>
          <w:bCs/>
          <w:i/>
          <w:spacing w:val="-30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ՀՀ,</w:t>
      </w:r>
      <w:r>
        <w:rPr>
          <w:b/>
          <w:bCs/>
          <w:i/>
          <w:spacing w:val="-28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ք.</w:t>
      </w:r>
      <w:r>
        <w:rPr>
          <w:b/>
          <w:bCs/>
          <w:i/>
          <w:spacing w:val="-29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Երևան,</w:t>
      </w:r>
      <w:r>
        <w:rPr>
          <w:b/>
          <w:bCs/>
          <w:i/>
          <w:spacing w:val="-30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Տիգրան</w:t>
      </w:r>
      <w:r>
        <w:rPr>
          <w:b/>
          <w:bCs/>
          <w:i/>
          <w:spacing w:val="-28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Մեծի</w:t>
      </w:r>
      <w:r>
        <w:rPr>
          <w:b/>
          <w:bCs/>
          <w:i/>
          <w:spacing w:val="-31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4,6</w:t>
      </w:r>
      <w:r>
        <w:rPr>
          <w:b/>
          <w:bCs/>
          <w:i/>
          <w:spacing w:val="-30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հարկ; Հեռախոս</w:t>
      </w:r>
      <w:r>
        <w:rPr>
          <w:b/>
          <w:bCs/>
          <w:i/>
          <w:spacing w:val="-26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/</w:t>
      </w:r>
      <w:r>
        <w:rPr>
          <w:b/>
          <w:bCs/>
          <w:i/>
          <w:spacing w:val="-25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Ֆաքս`</w:t>
      </w:r>
      <w:r>
        <w:rPr>
          <w:b/>
          <w:bCs/>
          <w:i/>
          <w:spacing w:val="-25"/>
          <w:sz w:val="21"/>
          <w:szCs w:val="21"/>
        </w:rPr>
        <w:t xml:space="preserve"> </w:t>
      </w:r>
      <w:r>
        <w:rPr>
          <w:b/>
          <w:bCs/>
          <w:i/>
          <w:spacing w:val="-2"/>
          <w:sz w:val="21"/>
          <w:szCs w:val="21"/>
        </w:rPr>
        <w:t>374</w:t>
      </w:r>
      <w:r>
        <w:rPr>
          <w:b/>
          <w:bCs/>
          <w:i/>
          <w:spacing w:val="-26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10</w:t>
      </w:r>
      <w:r>
        <w:rPr>
          <w:b/>
          <w:bCs/>
          <w:i/>
          <w:spacing w:val="-25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–</w:t>
      </w:r>
      <w:r>
        <w:rPr>
          <w:b/>
          <w:bCs/>
          <w:i/>
          <w:spacing w:val="-26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54</w:t>
      </w:r>
      <w:r>
        <w:rPr>
          <w:b/>
          <w:bCs/>
          <w:i/>
          <w:spacing w:val="-25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–</w:t>
      </w:r>
      <w:r>
        <w:rPr>
          <w:b/>
          <w:bCs/>
          <w:i/>
          <w:spacing w:val="-27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65</w:t>
      </w:r>
      <w:r>
        <w:rPr>
          <w:b/>
          <w:bCs/>
          <w:i/>
          <w:spacing w:val="-26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-10;</w:t>
      </w:r>
      <w:r>
        <w:rPr>
          <w:b/>
          <w:bCs/>
          <w:i/>
          <w:spacing w:val="-26"/>
          <w:sz w:val="21"/>
          <w:szCs w:val="21"/>
        </w:rPr>
        <w:t xml:space="preserve"> </w:t>
      </w:r>
      <w:r>
        <w:rPr>
          <w:b/>
          <w:bCs/>
          <w:i/>
          <w:sz w:val="21"/>
          <w:szCs w:val="21"/>
        </w:rPr>
        <w:t>e-mail։</w:t>
      </w:r>
      <w:r>
        <w:rPr>
          <w:b/>
          <w:bCs/>
          <w:i/>
          <w:spacing w:val="-25"/>
          <w:sz w:val="21"/>
          <w:szCs w:val="21"/>
        </w:rPr>
        <w:t xml:space="preserve"> </w:t>
      </w:r>
      <w:hyperlink r:id="rId9">
        <w:r>
          <w:rPr>
            <w:b/>
            <w:bCs/>
            <w:i/>
            <w:color w:val="0462C1"/>
            <w:sz w:val="21"/>
            <w:szCs w:val="21"/>
            <w:u w:val="single" w:color="0462C1"/>
          </w:rPr>
          <w:t>procurement@raed.am</w:t>
        </w:r>
      </w:hyperlink>
    </w:p>
    <w:sectPr w:rsidR="00DD0057" w:rsidSect="00A022CC">
      <w:pgSz w:w="12240" w:h="15840"/>
      <w:pgMar w:top="80" w:right="6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12B12"/>
    <w:multiLevelType w:val="hybridMultilevel"/>
    <w:tmpl w:val="FFFFFFFF"/>
    <w:lvl w:ilvl="0" w:tplc="223E0186">
      <w:numFmt w:val="bullet"/>
      <w:lvlText w:val=""/>
      <w:lvlJc w:val="left"/>
      <w:pPr>
        <w:ind w:left="1517" w:hanging="360"/>
      </w:pPr>
      <w:rPr>
        <w:rFonts w:ascii="Symbol" w:eastAsia="Times New Roman" w:hAnsi="Symbol" w:hint="default"/>
        <w:w w:val="99"/>
        <w:sz w:val="20"/>
      </w:rPr>
    </w:lvl>
    <w:lvl w:ilvl="1" w:tplc="B964BCA8">
      <w:numFmt w:val="bullet"/>
      <w:lvlText w:val="•"/>
      <w:lvlJc w:val="left"/>
      <w:pPr>
        <w:ind w:left="2562" w:hanging="360"/>
      </w:pPr>
      <w:rPr>
        <w:rFonts w:hint="default"/>
      </w:rPr>
    </w:lvl>
    <w:lvl w:ilvl="2" w:tplc="FFD89DE8">
      <w:numFmt w:val="bullet"/>
      <w:lvlText w:val="•"/>
      <w:lvlJc w:val="left"/>
      <w:pPr>
        <w:ind w:left="3604" w:hanging="360"/>
      </w:pPr>
      <w:rPr>
        <w:rFonts w:hint="default"/>
      </w:rPr>
    </w:lvl>
    <w:lvl w:ilvl="3" w:tplc="70F01D6C">
      <w:numFmt w:val="bullet"/>
      <w:lvlText w:val="•"/>
      <w:lvlJc w:val="left"/>
      <w:pPr>
        <w:ind w:left="4646" w:hanging="360"/>
      </w:pPr>
      <w:rPr>
        <w:rFonts w:hint="default"/>
      </w:rPr>
    </w:lvl>
    <w:lvl w:ilvl="4" w:tplc="1798876E">
      <w:numFmt w:val="bullet"/>
      <w:lvlText w:val="•"/>
      <w:lvlJc w:val="left"/>
      <w:pPr>
        <w:ind w:left="5688" w:hanging="360"/>
      </w:pPr>
      <w:rPr>
        <w:rFonts w:hint="default"/>
      </w:rPr>
    </w:lvl>
    <w:lvl w:ilvl="5" w:tplc="2276883C">
      <w:numFmt w:val="bullet"/>
      <w:lvlText w:val="•"/>
      <w:lvlJc w:val="left"/>
      <w:pPr>
        <w:ind w:left="6730" w:hanging="360"/>
      </w:pPr>
      <w:rPr>
        <w:rFonts w:hint="default"/>
      </w:rPr>
    </w:lvl>
    <w:lvl w:ilvl="6" w:tplc="D7149ECE">
      <w:numFmt w:val="bullet"/>
      <w:lvlText w:val="•"/>
      <w:lvlJc w:val="left"/>
      <w:pPr>
        <w:ind w:left="7772" w:hanging="360"/>
      </w:pPr>
      <w:rPr>
        <w:rFonts w:hint="default"/>
      </w:rPr>
    </w:lvl>
    <w:lvl w:ilvl="7" w:tplc="AF642A4C">
      <w:numFmt w:val="bullet"/>
      <w:lvlText w:val="•"/>
      <w:lvlJc w:val="left"/>
      <w:pPr>
        <w:ind w:left="8814" w:hanging="360"/>
      </w:pPr>
      <w:rPr>
        <w:rFonts w:hint="default"/>
      </w:rPr>
    </w:lvl>
    <w:lvl w:ilvl="8" w:tplc="294A3ECE">
      <w:numFmt w:val="bullet"/>
      <w:lvlText w:val="•"/>
      <w:lvlJc w:val="left"/>
      <w:pPr>
        <w:ind w:left="9856" w:hanging="360"/>
      </w:pPr>
      <w:rPr>
        <w:rFonts w:hint="default"/>
      </w:rPr>
    </w:lvl>
  </w:abstractNum>
  <w:abstractNum w:abstractNumId="1">
    <w:nsid w:val="718F3C94"/>
    <w:multiLevelType w:val="hybridMultilevel"/>
    <w:tmpl w:val="FFFFFFFF"/>
    <w:lvl w:ilvl="0" w:tplc="6F2A33D4">
      <w:numFmt w:val="bullet"/>
      <w:lvlText w:val=""/>
      <w:lvlJc w:val="left"/>
      <w:pPr>
        <w:ind w:left="1111" w:hanging="361"/>
      </w:pPr>
      <w:rPr>
        <w:rFonts w:ascii="Symbol" w:eastAsia="Times New Roman" w:hAnsi="Symbol" w:hint="default"/>
        <w:w w:val="99"/>
        <w:sz w:val="20"/>
      </w:rPr>
    </w:lvl>
    <w:lvl w:ilvl="1" w:tplc="D706B702">
      <w:numFmt w:val="bullet"/>
      <w:lvlText w:val=""/>
      <w:lvlJc w:val="left"/>
      <w:pPr>
        <w:ind w:left="1831" w:hanging="360"/>
      </w:pPr>
      <w:rPr>
        <w:rFonts w:ascii="Symbol" w:eastAsia="Times New Roman" w:hAnsi="Symbol" w:hint="default"/>
        <w:w w:val="99"/>
        <w:sz w:val="20"/>
      </w:rPr>
    </w:lvl>
    <w:lvl w:ilvl="2" w:tplc="671C38B2">
      <w:numFmt w:val="bullet"/>
      <w:lvlText w:val="•"/>
      <w:lvlJc w:val="left"/>
      <w:pPr>
        <w:ind w:left="2962" w:hanging="360"/>
      </w:pPr>
      <w:rPr>
        <w:rFonts w:hint="default"/>
      </w:rPr>
    </w:lvl>
    <w:lvl w:ilvl="3" w:tplc="5330F396">
      <w:numFmt w:val="bullet"/>
      <w:lvlText w:val="•"/>
      <w:lvlJc w:val="left"/>
      <w:pPr>
        <w:ind w:left="4084" w:hanging="360"/>
      </w:pPr>
      <w:rPr>
        <w:rFonts w:hint="default"/>
      </w:rPr>
    </w:lvl>
    <w:lvl w:ilvl="4" w:tplc="4E28B24C">
      <w:numFmt w:val="bullet"/>
      <w:lvlText w:val="•"/>
      <w:lvlJc w:val="left"/>
      <w:pPr>
        <w:ind w:left="5206" w:hanging="360"/>
      </w:pPr>
      <w:rPr>
        <w:rFonts w:hint="default"/>
      </w:rPr>
    </w:lvl>
    <w:lvl w:ilvl="5" w:tplc="C590C02C">
      <w:numFmt w:val="bullet"/>
      <w:lvlText w:val="•"/>
      <w:lvlJc w:val="left"/>
      <w:pPr>
        <w:ind w:left="6328" w:hanging="360"/>
      </w:pPr>
      <w:rPr>
        <w:rFonts w:hint="default"/>
      </w:rPr>
    </w:lvl>
    <w:lvl w:ilvl="6" w:tplc="10BC6CDE">
      <w:numFmt w:val="bullet"/>
      <w:lvlText w:val="•"/>
      <w:lvlJc w:val="left"/>
      <w:pPr>
        <w:ind w:left="7451" w:hanging="360"/>
      </w:pPr>
      <w:rPr>
        <w:rFonts w:hint="default"/>
      </w:rPr>
    </w:lvl>
    <w:lvl w:ilvl="7" w:tplc="1E88C4CA">
      <w:numFmt w:val="bullet"/>
      <w:lvlText w:val="•"/>
      <w:lvlJc w:val="left"/>
      <w:pPr>
        <w:ind w:left="8573" w:hanging="360"/>
      </w:pPr>
      <w:rPr>
        <w:rFonts w:hint="default"/>
      </w:rPr>
    </w:lvl>
    <w:lvl w:ilvl="8" w:tplc="2384F03A">
      <w:numFmt w:val="bullet"/>
      <w:lvlText w:val="•"/>
      <w:lvlJc w:val="left"/>
      <w:pPr>
        <w:ind w:left="969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2CC"/>
    <w:rsid w:val="00006A84"/>
    <w:rsid w:val="001A4EEA"/>
    <w:rsid w:val="002C393F"/>
    <w:rsid w:val="003B6640"/>
    <w:rsid w:val="003E7A04"/>
    <w:rsid w:val="00557441"/>
    <w:rsid w:val="00A022CC"/>
    <w:rsid w:val="00DD0057"/>
    <w:rsid w:val="00FB44AE"/>
    <w:rsid w:val="00FF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CC"/>
    <w:pPr>
      <w:widowControl w:val="0"/>
      <w:autoSpaceDE w:val="0"/>
      <w:autoSpaceDN w:val="0"/>
    </w:pPr>
    <w:rPr>
      <w:rFonts w:ascii="Sylfaen" w:hAnsi="Sylfaen" w:cs="Sylfaen"/>
      <w:lang w:val="sq-AL" w:eastAsia="en-US"/>
    </w:rPr>
  </w:style>
  <w:style w:type="paragraph" w:styleId="Heading1">
    <w:name w:val="heading 1"/>
    <w:basedOn w:val="Normal"/>
    <w:link w:val="Heading1Char"/>
    <w:uiPriority w:val="99"/>
    <w:qFormat/>
    <w:rsid w:val="00A022CC"/>
    <w:pPr>
      <w:ind w:left="2702" w:right="2874"/>
      <w:jc w:val="center"/>
      <w:outlineLvl w:val="0"/>
    </w:pPr>
    <w:rPr>
      <w:b/>
      <w:bCs/>
      <w:i/>
      <w:sz w:val="21"/>
      <w:szCs w:val="21"/>
    </w:rPr>
  </w:style>
  <w:style w:type="paragraph" w:styleId="Heading2">
    <w:name w:val="heading 2"/>
    <w:basedOn w:val="Normal"/>
    <w:link w:val="Heading2Char"/>
    <w:uiPriority w:val="99"/>
    <w:qFormat/>
    <w:rsid w:val="00A022CC"/>
    <w:pPr>
      <w:ind w:left="751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sq-AL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sq-AL" w:eastAsia="en-US"/>
    </w:rPr>
  </w:style>
  <w:style w:type="paragraph" w:styleId="BodyText">
    <w:name w:val="Body Text"/>
    <w:basedOn w:val="Normal"/>
    <w:link w:val="BodyTextChar"/>
    <w:uiPriority w:val="99"/>
    <w:rsid w:val="00A022CC"/>
    <w:pPr>
      <w:ind w:left="1111" w:right="564" w:hanging="361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Sylfaen" w:hAnsi="Sylfaen" w:cs="Sylfaen"/>
      <w:lang w:val="sq-AL" w:eastAsia="en-US"/>
    </w:rPr>
  </w:style>
  <w:style w:type="paragraph" w:styleId="ListParagraph">
    <w:name w:val="List Paragraph"/>
    <w:basedOn w:val="Normal"/>
    <w:uiPriority w:val="99"/>
    <w:qFormat/>
    <w:rsid w:val="00A022CC"/>
    <w:pPr>
      <w:ind w:left="1111" w:right="564" w:hanging="361"/>
      <w:jc w:val="both"/>
    </w:pPr>
  </w:style>
  <w:style w:type="paragraph" w:customStyle="1" w:styleId="TableParagraph">
    <w:name w:val="Table Paragraph"/>
    <w:basedOn w:val="Normal"/>
    <w:uiPriority w:val="99"/>
    <w:rsid w:val="00A022CC"/>
    <w:pPr>
      <w:spacing w:before="2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raed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ed.am/procurement/adstate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ad.org/documents/10180/cd15e696-26e2-45df-abcc-3d4611a9a20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fad.org/documents/10180/cd15e696-26e2-45df-abcc-3d4611a9a20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rae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1655</Words>
  <Characters>9435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ՀՐԱՎԵՐ ՀԵՏԱՔՐՔՐՈՒԹՅԱՆ ՀԱՅՏ ՆԵՐԿԱՅԱՑՆԵԼՈՒ</dc:title>
  <dc:subject/>
  <dc:creator>Zaruhi Gharagyozyan</dc:creator>
  <cp:keywords/>
  <dc:description/>
  <cp:lastModifiedBy>George</cp:lastModifiedBy>
  <cp:revision>4</cp:revision>
  <dcterms:created xsi:type="dcterms:W3CDTF">2020-12-07T18:27:00Z</dcterms:created>
  <dcterms:modified xsi:type="dcterms:W3CDTF">2020-12-08T19:08:00Z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