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072" w:type="dxa"/>
        <w:tblInd w:w="8"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7088"/>
        <w:gridCol w:w="1984"/>
      </w:tblGrid>
      <w:tr w:rsidR="008F0375" w:rsidRPr="001261F8" w14:paraId="6EA7D95E" w14:textId="77777777" w:rsidTr="00CD73DA">
        <w:tc>
          <w:tcPr>
            <w:tcW w:w="7088" w:type="dxa"/>
            <w:tcMar>
              <w:left w:w="0" w:type="dxa"/>
              <w:right w:w="0" w:type="dxa"/>
            </w:tcMar>
          </w:tcPr>
          <w:p w14:paraId="78E1D294" w14:textId="7C774810" w:rsidR="008F0375" w:rsidRPr="001261F8" w:rsidRDefault="00F517BC" w:rsidP="001E144E">
            <w:pPr>
              <w:tabs>
                <w:tab w:val="left" w:pos="567"/>
              </w:tabs>
              <w:spacing w:before="240" w:after="120"/>
              <w:rPr>
                <w:b/>
              </w:rPr>
            </w:pPr>
            <w:r>
              <w:rPr>
                <w:b/>
              </w:rPr>
              <w:fldChar w:fldCharType="begin">
                <w:ffData>
                  <w:name w:val="Text1"/>
                  <w:enabled/>
                  <w:calcOnExit w:val="0"/>
                  <w:textInput>
                    <w:default w:val="Rapid Functional Review of Two Departments of MTAI"/>
                  </w:textInput>
                </w:ffData>
              </w:fldChar>
            </w:r>
            <w:bookmarkStart w:id="0" w:name="Text1"/>
            <w:r>
              <w:rPr>
                <w:b/>
              </w:rPr>
              <w:instrText xml:space="preserve"> FORMTEXT </w:instrText>
            </w:r>
            <w:r>
              <w:rPr>
                <w:b/>
              </w:rPr>
            </w:r>
            <w:r>
              <w:rPr>
                <w:b/>
              </w:rPr>
              <w:fldChar w:fldCharType="separate"/>
            </w:r>
            <w:r>
              <w:rPr>
                <w:b/>
                <w:noProof/>
              </w:rPr>
              <w:t>Rapid Functional Review of Two Departments of MTAI</w:t>
            </w:r>
            <w:r>
              <w:rPr>
                <w:b/>
              </w:rPr>
              <w:fldChar w:fldCharType="end"/>
            </w:r>
            <w:bookmarkEnd w:id="0"/>
          </w:p>
        </w:tc>
        <w:tc>
          <w:tcPr>
            <w:tcW w:w="1984" w:type="dxa"/>
            <w:tcMar>
              <w:left w:w="0" w:type="dxa"/>
              <w:right w:w="0" w:type="dxa"/>
            </w:tcMar>
          </w:tcPr>
          <w:p w14:paraId="0A5878B9" w14:textId="77777777" w:rsidR="008F0375" w:rsidRPr="001261F8" w:rsidRDefault="008F0375" w:rsidP="008F0375">
            <w:pPr>
              <w:tabs>
                <w:tab w:val="left" w:pos="567"/>
              </w:tabs>
              <w:spacing w:after="120"/>
              <w:rPr>
                <w:b/>
              </w:rPr>
            </w:pPr>
            <w:r>
              <w:rPr>
                <w:b/>
              </w:rPr>
              <w:t>Project number/</w:t>
            </w:r>
            <w:r>
              <w:rPr>
                <w:b/>
              </w:rPr>
              <w:br/>
              <w:t>cost centre:</w:t>
            </w:r>
          </w:p>
          <w:p w14:paraId="7F1BF58B" w14:textId="03932B6B" w:rsidR="008F0375" w:rsidRPr="001261F8" w:rsidRDefault="0055216E" w:rsidP="008F0375">
            <w:pPr>
              <w:tabs>
                <w:tab w:val="left" w:pos="567"/>
              </w:tabs>
              <w:spacing w:after="120"/>
              <w:rPr>
                <w:b/>
              </w:rPr>
            </w:pPr>
            <w:r>
              <w:rPr>
                <w:b/>
              </w:rPr>
              <w:fldChar w:fldCharType="begin">
                <w:ffData>
                  <w:name w:val="Text2"/>
                  <w:enabled/>
                  <w:calcOnExit w:val="0"/>
                  <w:textInput>
                    <w:default w:val="23.2131.3-001.00"/>
                  </w:textInput>
                </w:ffData>
              </w:fldChar>
            </w:r>
            <w:bookmarkStart w:id="1" w:name="Text2"/>
            <w:r>
              <w:rPr>
                <w:b/>
              </w:rPr>
              <w:instrText xml:space="preserve"> FORMTEXT </w:instrText>
            </w:r>
            <w:r>
              <w:rPr>
                <w:b/>
              </w:rPr>
            </w:r>
            <w:r>
              <w:rPr>
                <w:b/>
              </w:rPr>
              <w:fldChar w:fldCharType="separate"/>
            </w:r>
            <w:r>
              <w:rPr>
                <w:b/>
                <w:noProof/>
              </w:rPr>
              <w:t>23.2131.3-001.00</w:t>
            </w:r>
            <w:r>
              <w:rPr>
                <w:b/>
              </w:rPr>
              <w:fldChar w:fldCharType="end"/>
            </w:r>
            <w:bookmarkEnd w:id="1"/>
          </w:p>
        </w:tc>
      </w:tr>
    </w:tbl>
    <w:p w14:paraId="384ADF5D" w14:textId="77777777" w:rsidR="0019640D" w:rsidRPr="001261F8" w:rsidRDefault="0019640D" w:rsidP="00967E7E">
      <w:pPr>
        <w:pStyle w:val="TOC1"/>
      </w:pPr>
    </w:p>
    <w:p w14:paraId="0B35E280" w14:textId="0688585A" w:rsidR="008F1ACC" w:rsidRDefault="00C65AD4">
      <w:pPr>
        <w:pStyle w:val="TOC1"/>
        <w:rPr>
          <w:rFonts w:asciiTheme="minorHAnsi" w:eastAsiaTheme="minorEastAsia" w:hAnsiTheme="minorHAnsi"/>
          <w:bCs w:val="0"/>
          <w:noProof/>
          <w:kern w:val="2"/>
          <w:sz w:val="24"/>
          <w:szCs w:val="24"/>
          <w:lang w:eastAsia="en-GB"/>
          <w14:ligatures w14:val="standardContextual"/>
        </w:rPr>
      </w:pPr>
      <w:r w:rsidRPr="001261F8">
        <w:rPr>
          <w:b/>
        </w:rPr>
        <w:fldChar w:fldCharType="begin"/>
      </w:r>
      <w:r w:rsidRPr="001261F8">
        <w:instrText xml:space="preserve"> TOC \o "1-2" \h \z \u </w:instrText>
      </w:r>
      <w:r w:rsidRPr="001261F8">
        <w:rPr>
          <w:b/>
        </w:rPr>
        <w:fldChar w:fldCharType="separate"/>
      </w:r>
      <w:hyperlink w:anchor="_Toc173323200" w:history="1">
        <w:r w:rsidR="008F1ACC" w:rsidRPr="00E92329">
          <w:rPr>
            <w:rStyle w:val="Hyperlink"/>
            <w:noProof/>
          </w:rPr>
          <w:t>0.</w:t>
        </w:r>
        <w:r w:rsidR="008F1ACC">
          <w:rPr>
            <w:rFonts w:asciiTheme="minorHAnsi" w:eastAsiaTheme="minorEastAsia" w:hAnsiTheme="minorHAnsi"/>
            <w:bCs w:val="0"/>
            <w:noProof/>
            <w:kern w:val="2"/>
            <w:sz w:val="24"/>
            <w:szCs w:val="24"/>
            <w:lang w:eastAsia="en-GB"/>
            <w14:ligatures w14:val="standardContextual"/>
          </w:rPr>
          <w:tab/>
        </w:r>
        <w:r w:rsidR="008F1ACC" w:rsidRPr="00E92329">
          <w:rPr>
            <w:rStyle w:val="Hyperlink"/>
            <w:noProof/>
          </w:rPr>
          <w:t>List of abbreviations</w:t>
        </w:r>
        <w:r w:rsidR="008F1ACC">
          <w:rPr>
            <w:noProof/>
            <w:webHidden/>
          </w:rPr>
          <w:tab/>
        </w:r>
        <w:r w:rsidR="008F1ACC">
          <w:rPr>
            <w:noProof/>
            <w:webHidden/>
          </w:rPr>
          <w:fldChar w:fldCharType="begin"/>
        </w:r>
        <w:r w:rsidR="008F1ACC">
          <w:rPr>
            <w:noProof/>
            <w:webHidden/>
          </w:rPr>
          <w:instrText xml:space="preserve"> PAGEREF _Toc173323200 \h </w:instrText>
        </w:r>
        <w:r w:rsidR="008F1ACC">
          <w:rPr>
            <w:noProof/>
            <w:webHidden/>
          </w:rPr>
        </w:r>
        <w:r w:rsidR="008F1ACC">
          <w:rPr>
            <w:noProof/>
            <w:webHidden/>
          </w:rPr>
          <w:fldChar w:fldCharType="separate"/>
        </w:r>
        <w:r w:rsidR="008F1ACC">
          <w:rPr>
            <w:noProof/>
            <w:webHidden/>
          </w:rPr>
          <w:t>2</w:t>
        </w:r>
        <w:r w:rsidR="008F1ACC">
          <w:rPr>
            <w:noProof/>
            <w:webHidden/>
          </w:rPr>
          <w:fldChar w:fldCharType="end"/>
        </w:r>
      </w:hyperlink>
    </w:p>
    <w:p w14:paraId="2D3F0126" w14:textId="6352C7C7" w:rsidR="008F1ACC" w:rsidRDefault="00000000">
      <w:pPr>
        <w:pStyle w:val="TOC1"/>
        <w:rPr>
          <w:rFonts w:asciiTheme="minorHAnsi" w:eastAsiaTheme="minorEastAsia" w:hAnsiTheme="minorHAnsi"/>
          <w:bCs w:val="0"/>
          <w:noProof/>
          <w:kern w:val="2"/>
          <w:sz w:val="24"/>
          <w:szCs w:val="24"/>
          <w:lang w:eastAsia="en-GB"/>
          <w14:ligatures w14:val="standardContextual"/>
        </w:rPr>
      </w:pPr>
      <w:hyperlink w:anchor="_Toc173323201" w:history="1">
        <w:r w:rsidR="008F1ACC" w:rsidRPr="00E92329">
          <w:rPr>
            <w:rStyle w:val="Hyperlink"/>
            <w:noProof/>
          </w:rPr>
          <w:t>1.</w:t>
        </w:r>
        <w:r w:rsidR="008F1ACC">
          <w:rPr>
            <w:rFonts w:asciiTheme="minorHAnsi" w:eastAsiaTheme="minorEastAsia" w:hAnsiTheme="minorHAnsi"/>
            <w:bCs w:val="0"/>
            <w:noProof/>
            <w:kern w:val="2"/>
            <w:sz w:val="24"/>
            <w:szCs w:val="24"/>
            <w:lang w:eastAsia="en-GB"/>
            <w14:ligatures w14:val="standardContextual"/>
          </w:rPr>
          <w:tab/>
        </w:r>
        <w:r w:rsidR="008F1ACC" w:rsidRPr="00E92329">
          <w:rPr>
            <w:rStyle w:val="Hyperlink"/>
            <w:noProof/>
          </w:rPr>
          <w:t>Context</w:t>
        </w:r>
        <w:r w:rsidR="008F1ACC">
          <w:rPr>
            <w:noProof/>
            <w:webHidden/>
          </w:rPr>
          <w:tab/>
        </w:r>
        <w:r w:rsidR="008F1ACC">
          <w:rPr>
            <w:noProof/>
            <w:webHidden/>
          </w:rPr>
          <w:fldChar w:fldCharType="begin"/>
        </w:r>
        <w:r w:rsidR="008F1ACC">
          <w:rPr>
            <w:noProof/>
            <w:webHidden/>
          </w:rPr>
          <w:instrText xml:space="preserve"> PAGEREF _Toc173323201 \h </w:instrText>
        </w:r>
        <w:r w:rsidR="008F1ACC">
          <w:rPr>
            <w:noProof/>
            <w:webHidden/>
          </w:rPr>
        </w:r>
        <w:r w:rsidR="008F1ACC">
          <w:rPr>
            <w:noProof/>
            <w:webHidden/>
          </w:rPr>
          <w:fldChar w:fldCharType="separate"/>
        </w:r>
        <w:r w:rsidR="008F1ACC">
          <w:rPr>
            <w:noProof/>
            <w:webHidden/>
          </w:rPr>
          <w:t>3</w:t>
        </w:r>
        <w:r w:rsidR="008F1ACC">
          <w:rPr>
            <w:noProof/>
            <w:webHidden/>
          </w:rPr>
          <w:fldChar w:fldCharType="end"/>
        </w:r>
      </w:hyperlink>
    </w:p>
    <w:p w14:paraId="651BCE91" w14:textId="7AB1617B" w:rsidR="008F1ACC" w:rsidRDefault="00000000">
      <w:pPr>
        <w:pStyle w:val="TOC1"/>
        <w:rPr>
          <w:rFonts w:asciiTheme="minorHAnsi" w:eastAsiaTheme="minorEastAsia" w:hAnsiTheme="minorHAnsi"/>
          <w:bCs w:val="0"/>
          <w:noProof/>
          <w:kern w:val="2"/>
          <w:sz w:val="24"/>
          <w:szCs w:val="24"/>
          <w:lang w:eastAsia="en-GB"/>
          <w14:ligatures w14:val="standardContextual"/>
        </w:rPr>
      </w:pPr>
      <w:hyperlink w:anchor="_Toc173323202" w:history="1">
        <w:r w:rsidR="008F1ACC" w:rsidRPr="00E92329">
          <w:rPr>
            <w:rStyle w:val="Hyperlink"/>
            <w:noProof/>
          </w:rPr>
          <w:t>2.</w:t>
        </w:r>
        <w:r w:rsidR="008F1ACC">
          <w:rPr>
            <w:rFonts w:asciiTheme="minorHAnsi" w:eastAsiaTheme="minorEastAsia" w:hAnsiTheme="minorHAnsi"/>
            <w:bCs w:val="0"/>
            <w:noProof/>
            <w:kern w:val="2"/>
            <w:sz w:val="24"/>
            <w:szCs w:val="24"/>
            <w:lang w:eastAsia="en-GB"/>
            <w14:ligatures w14:val="standardContextual"/>
          </w:rPr>
          <w:tab/>
        </w:r>
        <w:r w:rsidR="008F1ACC" w:rsidRPr="00E92329">
          <w:rPr>
            <w:rStyle w:val="Hyperlink"/>
            <w:noProof/>
          </w:rPr>
          <w:t>Tasks to be performed by the contractor</w:t>
        </w:r>
        <w:r w:rsidR="008F1ACC">
          <w:rPr>
            <w:noProof/>
            <w:webHidden/>
          </w:rPr>
          <w:tab/>
        </w:r>
        <w:r w:rsidR="008F1ACC">
          <w:rPr>
            <w:noProof/>
            <w:webHidden/>
          </w:rPr>
          <w:fldChar w:fldCharType="begin"/>
        </w:r>
        <w:r w:rsidR="008F1ACC">
          <w:rPr>
            <w:noProof/>
            <w:webHidden/>
          </w:rPr>
          <w:instrText xml:space="preserve"> PAGEREF _Toc173323202 \h </w:instrText>
        </w:r>
        <w:r w:rsidR="008F1ACC">
          <w:rPr>
            <w:noProof/>
            <w:webHidden/>
          </w:rPr>
        </w:r>
        <w:r w:rsidR="008F1ACC">
          <w:rPr>
            <w:noProof/>
            <w:webHidden/>
          </w:rPr>
          <w:fldChar w:fldCharType="separate"/>
        </w:r>
        <w:r w:rsidR="008F1ACC">
          <w:rPr>
            <w:noProof/>
            <w:webHidden/>
          </w:rPr>
          <w:t>4</w:t>
        </w:r>
        <w:r w:rsidR="008F1ACC">
          <w:rPr>
            <w:noProof/>
            <w:webHidden/>
          </w:rPr>
          <w:fldChar w:fldCharType="end"/>
        </w:r>
      </w:hyperlink>
    </w:p>
    <w:p w14:paraId="76D0809E" w14:textId="0656FF37" w:rsidR="008F1ACC" w:rsidRDefault="00000000">
      <w:pPr>
        <w:pStyle w:val="TOC1"/>
        <w:rPr>
          <w:rFonts w:asciiTheme="minorHAnsi" w:eastAsiaTheme="minorEastAsia" w:hAnsiTheme="minorHAnsi"/>
          <w:bCs w:val="0"/>
          <w:noProof/>
          <w:kern w:val="2"/>
          <w:sz w:val="24"/>
          <w:szCs w:val="24"/>
          <w:lang w:eastAsia="en-GB"/>
          <w14:ligatures w14:val="standardContextual"/>
        </w:rPr>
      </w:pPr>
      <w:hyperlink w:anchor="_Toc173323203" w:history="1">
        <w:r w:rsidR="008F1ACC" w:rsidRPr="00E92329">
          <w:rPr>
            <w:rStyle w:val="Hyperlink"/>
            <w:noProof/>
          </w:rPr>
          <w:t>3.</w:t>
        </w:r>
        <w:r w:rsidR="008F1ACC">
          <w:rPr>
            <w:rFonts w:asciiTheme="minorHAnsi" w:eastAsiaTheme="minorEastAsia" w:hAnsiTheme="minorHAnsi"/>
            <w:bCs w:val="0"/>
            <w:noProof/>
            <w:kern w:val="2"/>
            <w:sz w:val="24"/>
            <w:szCs w:val="24"/>
            <w:lang w:eastAsia="en-GB"/>
            <w14:ligatures w14:val="standardContextual"/>
          </w:rPr>
          <w:tab/>
        </w:r>
        <w:r w:rsidR="008F1ACC" w:rsidRPr="00E92329">
          <w:rPr>
            <w:rStyle w:val="Hyperlink"/>
            <w:noProof/>
          </w:rPr>
          <w:t>Concept</w:t>
        </w:r>
        <w:r w:rsidR="008F1ACC">
          <w:rPr>
            <w:noProof/>
            <w:webHidden/>
          </w:rPr>
          <w:tab/>
        </w:r>
        <w:r w:rsidR="008F1ACC">
          <w:rPr>
            <w:noProof/>
            <w:webHidden/>
          </w:rPr>
          <w:fldChar w:fldCharType="begin"/>
        </w:r>
        <w:r w:rsidR="008F1ACC">
          <w:rPr>
            <w:noProof/>
            <w:webHidden/>
          </w:rPr>
          <w:instrText xml:space="preserve"> PAGEREF _Toc173323203 \h </w:instrText>
        </w:r>
        <w:r w:rsidR="008F1ACC">
          <w:rPr>
            <w:noProof/>
            <w:webHidden/>
          </w:rPr>
        </w:r>
        <w:r w:rsidR="008F1ACC">
          <w:rPr>
            <w:noProof/>
            <w:webHidden/>
          </w:rPr>
          <w:fldChar w:fldCharType="separate"/>
        </w:r>
        <w:r w:rsidR="008F1ACC">
          <w:rPr>
            <w:noProof/>
            <w:webHidden/>
          </w:rPr>
          <w:t>6</w:t>
        </w:r>
        <w:r w:rsidR="008F1ACC">
          <w:rPr>
            <w:noProof/>
            <w:webHidden/>
          </w:rPr>
          <w:fldChar w:fldCharType="end"/>
        </w:r>
      </w:hyperlink>
    </w:p>
    <w:p w14:paraId="37E3157A" w14:textId="4C22D4F3" w:rsidR="008F1ACC" w:rsidRDefault="00000000">
      <w:pPr>
        <w:pStyle w:val="TOC2"/>
        <w:rPr>
          <w:rFonts w:asciiTheme="minorHAnsi" w:eastAsiaTheme="minorEastAsia" w:hAnsiTheme="minorHAnsi"/>
          <w:noProof/>
          <w:kern w:val="2"/>
          <w:sz w:val="24"/>
          <w:szCs w:val="24"/>
          <w:lang w:eastAsia="en-GB"/>
          <w14:ligatures w14:val="standardContextual"/>
        </w:rPr>
      </w:pPr>
      <w:hyperlink w:anchor="_Toc173323204" w:history="1">
        <w:r w:rsidR="008F1ACC" w:rsidRPr="00E92329">
          <w:rPr>
            <w:rStyle w:val="Hyperlink"/>
            <w:noProof/>
          </w:rPr>
          <w:t>Technical-methodological concept</w:t>
        </w:r>
        <w:r w:rsidR="008F1ACC">
          <w:rPr>
            <w:noProof/>
            <w:webHidden/>
          </w:rPr>
          <w:tab/>
        </w:r>
        <w:r w:rsidR="008F1ACC">
          <w:rPr>
            <w:noProof/>
            <w:webHidden/>
          </w:rPr>
          <w:fldChar w:fldCharType="begin"/>
        </w:r>
        <w:r w:rsidR="008F1ACC">
          <w:rPr>
            <w:noProof/>
            <w:webHidden/>
          </w:rPr>
          <w:instrText xml:space="preserve"> PAGEREF _Toc173323204 \h </w:instrText>
        </w:r>
        <w:r w:rsidR="008F1ACC">
          <w:rPr>
            <w:noProof/>
            <w:webHidden/>
          </w:rPr>
        </w:r>
        <w:r w:rsidR="008F1ACC">
          <w:rPr>
            <w:noProof/>
            <w:webHidden/>
          </w:rPr>
          <w:fldChar w:fldCharType="separate"/>
        </w:r>
        <w:r w:rsidR="008F1ACC">
          <w:rPr>
            <w:noProof/>
            <w:webHidden/>
          </w:rPr>
          <w:t>6</w:t>
        </w:r>
        <w:r w:rsidR="008F1ACC">
          <w:rPr>
            <w:noProof/>
            <w:webHidden/>
          </w:rPr>
          <w:fldChar w:fldCharType="end"/>
        </w:r>
      </w:hyperlink>
    </w:p>
    <w:p w14:paraId="1DBBA856" w14:textId="36245966" w:rsidR="008F1ACC" w:rsidRDefault="00000000">
      <w:pPr>
        <w:pStyle w:val="TOC1"/>
        <w:rPr>
          <w:rFonts w:asciiTheme="minorHAnsi" w:eastAsiaTheme="minorEastAsia" w:hAnsiTheme="minorHAnsi"/>
          <w:bCs w:val="0"/>
          <w:noProof/>
          <w:kern w:val="2"/>
          <w:sz w:val="24"/>
          <w:szCs w:val="24"/>
          <w:lang w:eastAsia="en-GB"/>
          <w14:ligatures w14:val="standardContextual"/>
        </w:rPr>
      </w:pPr>
      <w:hyperlink w:anchor="_Toc173323205" w:history="1">
        <w:r w:rsidR="008F1ACC" w:rsidRPr="00E92329">
          <w:rPr>
            <w:rStyle w:val="Hyperlink"/>
            <w:noProof/>
          </w:rPr>
          <w:t>4.</w:t>
        </w:r>
        <w:r w:rsidR="008F1ACC">
          <w:rPr>
            <w:rFonts w:asciiTheme="minorHAnsi" w:eastAsiaTheme="minorEastAsia" w:hAnsiTheme="minorHAnsi"/>
            <w:bCs w:val="0"/>
            <w:noProof/>
            <w:kern w:val="2"/>
            <w:sz w:val="24"/>
            <w:szCs w:val="24"/>
            <w:lang w:eastAsia="en-GB"/>
            <w14:ligatures w14:val="standardContextual"/>
          </w:rPr>
          <w:tab/>
        </w:r>
        <w:r w:rsidR="008F1ACC" w:rsidRPr="00E92329">
          <w:rPr>
            <w:rStyle w:val="Hyperlink"/>
            <w:noProof/>
          </w:rPr>
          <w:t>Personnel concept</w:t>
        </w:r>
        <w:r w:rsidR="008F1ACC">
          <w:rPr>
            <w:noProof/>
            <w:webHidden/>
          </w:rPr>
          <w:tab/>
        </w:r>
        <w:r w:rsidR="008F1ACC">
          <w:rPr>
            <w:noProof/>
            <w:webHidden/>
          </w:rPr>
          <w:fldChar w:fldCharType="begin"/>
        </w:r>
        <w:r w:rsidR="008F1ACC">
          <w:rPr>
            <w:noProof/>
            <w:webHidden/>
          </w:rPr>
          <w:instrText xml:space="preserve"> PAGEREF _Toc173323205 \h </w:instrText>
        </w:r>
        <w:r w:rsidR="008F1ACC">
          <w:rPr>
            <w:noProof/>
            <w:webHidden/>
          </w:rPr>
        </w:r>
        <w:r w:rsidR="008F1ACC">
          <w:rPr>
            <w:noProof/>
            <w:webHidden/>
          </w:rPr>
          <w:fldChar w:fldCharType="separate"/>
        </w:r>
        <w:r w:rsidR="008F1ACC">
          <w:rPr>
            <w:noProof/>
            <w:webHidden/>
          </w:rPr>
          <w:t>6</w:t>
        </w:r>
        <w:r w:rsidR="008F1ACC">
          <w:rPr>
            <w:noProof/>
            <w:webHidden/>
          </w:rPr>
          <w:fldChar w:fldCharType="end"/>
        </w:r>
      </w:hyperlink>
    </w:p>
    <w:p w14:paraId="4335BBDD" w14:textId="72AF305D" w:rsidR="008F1ACC" w:rsidRDefault="00000000">
      <w:pPr>
        <w:pStyle w:val="TOC2"/>
        <w:rPr>
          <w:rFonts w:asciiTheme="minorHAnsi" w:eastAsiaTheme="minorEastAsia" w:hAnsiTheme="minorHAnsi"/>
          <w:noProof/>
          <w:kern w:val="2"/>
          <w:sz w:val="24"/>
          <w:szCs w:val="24"/>
          <w:lang w:eastAsia="en-GB"/>
          <w14:ligatures w14:val="standardContextual"/>
        </w:rPr>
      </w:pPr>
      <w:hyperlink w:anchor="_Toc173323206" w:history="1">
        <w:r w:rsidR="008F1ACC" w:rsidRPr="00E92329">
          <w:rPr>
            <w:rStyle w:val="Hyperlink"/>
            <w:noProof/>
          </w:rPr>
          <w:t>Expert</w:t>
        </w:r>
        <w:r w:rsidR="008F1ACC">
          <w:rPr>
            <w:noProof/>
            <w:webHidden/>
          </w:rPr>
          <w:tab/>
        </w:r>
        <w:r w:rsidR="008F1ACC">
          <w:rPr>
            <w:noProof/>
            <w:webHidden/>
          </w:rPr>
          <w:fldChar w:fldCharType="begin"/>
        </w:r>
        <w:r w:rsidR="008F1ACC">
          <w:rPr>
            <w:noProof/>
            <w:webHidden/>
          </w:rPr>
          <w:instrText xml:space="preserve"> PAGEREF _Toc173323206 \h </w:instrText>
        </w:r>
        <w:r w:rsidR="008F1ACC">
          <w:rPr>
            <w:noProof/>
            <w:webHidden/>
          </w:rPr>
        </w:r>
        <w:r w:rsidR="008F1ACC">
          <w:rPr>
            <w:noProof/>
            <w:webHidden/>
          </w:rPr>
          <w:fldChar w:fldCharType="separate"/>
        </w:r>
        <w:r w:rsidR="008F1ACC">
          <w:rPr>
            <w:noProof/>
            <w:webHidden/>
          </w:rPr>
          <w:t>6</w:t>
        </w:r>
        <w:r w:rsidR="008F1ACC">
          <w:rPr>
            <w:noProof/>
            <w:webHidden/>
          </w:rPr>
          <w:fldChar w:fldCharType="end"/>
        </w:r>
      </w:hyperlink>
    </w:p>
    <w:p w14:paraId="7F74F834" w14:textId="09E6FCE7" w:rsidR="008F1ACC" w:rsidRDefault="00000000">
      <w:pPr>
        <w:pStyle w:val="TOC1"/>
        <w:rPr>
          <w:rFonts w:asciiTheme="minorHAnsi" w:eastAsiaTheme="minorEastAsia" w:hAnsiTheme="minorHAnsi"/>
          <w:bCs w:val="0"/>
          <w:noProof/>
          <w:kern w:val="2"/>
          <w:sz w:val="24"/>
          <w:szCs w:val="24"/>
          <w:lang w:eastAsia="en-GB"/>
          <w14:ligatures w14:val="standardContextual"/>
        </w:rPr>
      </w:pPr>
      <w:hyperlink w:anchor="_Toc173323207" w:history="1">
        <w:r w:rsidR="008F1ACC" w:rsidRPr="00E92329">
          <w:rPr>
            <w:rStyle w:val="Hyperlink"/>
            <w:noProof/>
          </w:rPr>
          <w:t>5.</w:t>
        </w:r>
        <w:r w:rsidR="008F1ACC">
          <w:rPr>
            <w:rFonts w:asciiTheme="minorHAnsi" w:eastAsiaTheme="minorEastAsia" w:hAnsiTheme="minorHAnsi"/>
            <w:bCs w:val="0"/>
            <w:noProof/>
            <w:kern w:val="2"/>
            <w:sz w:val="24"/>
            <w:szCs w:val="24"/>
            <w:lang w:eastAsia="en-GB"/>
            <w14:ligatures w14:val="standardContextual"/>
          </w:rPr>
          <w:tab/>
        </w:r>
        <w:r w:rsidR="008F1ACC" w:rsidRPr="00E92329">
          <w:rPr>
            <w:rStyle w:val="Hyperlink"/>
            <w:noProof/>
          </w:rPr>
          <w:t>Costing requirements</w:t>
        </w:r>
        <w:r w:rsidR="008F1ACC">
          <w:rPr>
            <w:noProof/>
            <w:webHidden/>
          </w:rPr>
          <w:tab/>
        </w:r>
        <w:r w:rsidR="008F1ACC">
          <w:rPr>
            <w:noProof/>
            <w:webHidden/>
          </w:rPr>
          <w:fldChar w:fldCharType="begin"/>
        </w:r>
        <w:r w:rsidR="008F1ACC">
          <w:rPr>
            <w:noProof/>
            <w:webHidden/>
          </w:rPr>
          <w:instrText xml:space="preserve"> PAGEREF _Toc173323207 \h </w:instrText>
        </w:r>
        <w:r w:rsidR="008F1ACC">
          <w:rPr>
            <w:noProof/>
            <w:webHidden/>
          </w:rPr>
        </w:r>
        <w:r w:rsidR="008F1ACC">
          <w:rPr>
            <w:noProof/>
            <w:webHidden/>
          </w:rPr>
          <w:fldChar w:fldCharType="separate"/>
        </w:r>
        <w:r w:rsidR="008F1ACC">
          <w:rPr>
            <w:noProof/>
            <w:webHidden/>
          </w:rPr>
          <w:t>7</w:t>
        </w:r>
        <w:r w:rsidR="008F1ACC">
          <w:rPr>
            <w:noProof/>
            <w:webHidden/>
          </w:rPr>
          <w:fldChar w:fldCharType="end"/>
        </w:r>
      </w:hyperlink>
    </w:p>
    <w:p w14:paraId="4562EAD0" w14:textId="67F69C14" w:rsidR="008F1ACC" w:rsidRDefault="00000000">
      <w:pPr>
        <w:pStyle w:val="TOC1"/>
        <w:rPr>
          <w:rFonts w:asciiTheme="minorHAnsi" w:eastAsiaTheme="minorEastAsia" w:hAnsiTheme="minorHAnsi"/>
          <w:bCs w:val="0"/>
          <w:noProof/>
          <w:kern w:val="2"/>
          <w:sz w:val="24"/>
          <w:szCs w:val="24"/>
          <w:lang w:eastAsia="en-GB"/>
          <w14:ligatures w14:val="standardContextual"/>
        </w:rPr>
      </w:pPr>
      <w:hyperlink w:anchor="_Toc173323208" w:history="1">
        <w:r w:rsidR="008F1ACC" w:rsidRPr="00E92329">
          <w:rPr>
            <w:rStyle w:val="Hyperlink"/>
            <w:noProof/>
          </w:rPr>
          <w:t>6.</w:t>
        </w:r>
        <w:r w:rsidR="008F1ACC">
          <w:rPr>
            <w:rFonts w:asciiTheme="minorHAnsi" w:eastAsiaTheme="minorEastAsia" w:hAnsiTheme="minorHAnsi"/>
            <w:bCs w:val="0"/>
            <w:noProof/>
            <w:kern w:val="2"/>
            <w:sz w:val="24"/>
            <w:szCs w:val="24"/>
            <w:lang w:eastAsia="en-GB"/>
            <w14:ligatures w14:val="standardContextual"/>
          </w:rPr>
          <w:tab/>
        </w:r>
        <w:r w:rsidR="008F1ACC" w:rsidRPr="00E92329">
          <w:rPr>
            <w:rStyle w:val="Hyperlink"/>
            <w:noProof/>
          </w:rPr>
          <w:t>Requirements on the format of the tender</w:t>
        </w:r>
        <w:r w:rsidR="008F1ACC">
          <w:rPr>
            <w:noProof/>
            <w:webHidden/>
          </w:rPr>
          <w:tab/>
        </w:r>
        <w:r w:rsidR="008F1ACC">
          <w:rPr>
            <w:noProof/>
            <w:webHidden/>
          </w:rPr>
          <w:fldChar w:fldCharType="begin"/>
        </w:r>
        <w:r w:rsidR="008F1ACC">
          <w:rPr>
            <w:noProof/>
            <w:webHidden/>
          </w:rPr>
          <w:instrText xml:space="preserve"> PAGEREF _Toc173323208 \h </w:instrText>
        </w:r>
        <w:r w:rsidR="008F1ACC">
          <w:rPr>
            <w:noProof/>
            <w:webHidden/>
          </w:rPr>
        </w:r>
        <w:r w:rsidR="008F1ACC">
          <w:rPr>
            <w:noProof/>
            <w:webHidden/>
          </w:rPr>
          <w:fldChar w:fldCharType="separate"/>
        </w:r>
        <w:r w:rsidR="008F1ACC">
          <w:rPr>
            <w:noProof/>
            <w:webHidden/>
          </w:rPr>
          <w:t>7</w:t>
        </w:r>
        <w:r w:rsidR="008F1ACC">
          <w:rPr>
            <w:noProof/>
            <w:webHidden/>
          </w:rPr>
          <w:fldChar w:fldCharType="end"/>
        </w:r>
      </w:hyperlink>
    </w:p>
    <w:p w14:paraId="27FECE28" w14:textId="7ED6F437" w:rsidR="008F0375" w:rsidRPr="001261F8" w:rsidRDefault="00C65AD4" w:rsidP="00A70DFB">
      <w:pPr>
        <w:tabs>
          <w:tab w:val="left" w:pos="880"/>
        </w:tabs>
      </w:pPr>
      <w:r w:rsidRPr="001261F8">
        <w:fldChar w:fldCharType="end"/>
      </w:r>
      <w:r>
        <w:br w:type="page"/>
      </w:r>
    </w:p>
    <w:p w14:paraId="75379D5C" w14:textId="77777777" w:rsidR="008F0375" w:rsidRPr="001261F8" w:rsidRDefault="008F0375" w:rsidP="00FD2778">
      <w:pPr>
        <w:pStyle w:val="Heading1"/>
        <w:numPr>
          <w:ilvl w:val="0"/>
          <w:numId w:val="1"/>
        </w:numPr>
      </w:pPr>
      <w:bookmarkStart w:id="2" w:name="_Toc508619994"/>
      <w:bookmarkStart w:id="3" w:name="_Toc119493820"/>
      <w:bookmarkStart w:id="4" w:name="_Toc173323200"/>
      <w:r>
        <w:lastRenderedPageBreak/>
        <w:t>List of abbreviations</w:t>
      </w:r>
      <w:bookmarkEnd w:id="2"/>
      <w:bookmarkEnd w:id="3"/>
      <w:bookmarkEnd w:id="4"/>
    </w:p>
    <w:p w14:paraId="719CC18A" w14:textId="77777777" w:rsidR="008F0375" w:rsidRPr="001261F8" w:rsidRDefault="008F0375" w:rsidP="008F0375">
      <w:pPr>
        <w:ind w:left="1701" w:hanging="1701"/>
      </w:pPr>
      <w:r>
        <w:t>AG</w:t>
      </w:r>
      <w:r>
        <w:tab/>
        <w:t>Commissioning party</w:t>
      </w:r>
    </w:p>
    <w:p w14:paraId="25B9B35C" w14:textId="77777777" w:rsidR="008F0375" w:rsidRPr="001261F8" w:rsidRDefault="008F0375" w:rsidP="008F0375">
      <w:pPr>
        <w:ind w:left="1701" w:hanging="1701"/>
      </w:pPr>
      <w:r>
        <w:t>AN</w:t>
      </w:r>
      <w:r>
        <w:tab/>
        <w:t>Contractor</w:t>
      </w:r>
    </w:p>
    <w:p w14:paraId="60229D5F" w14:textId="77777777" w:rsidR="008F0375" w:rsidRPr="001261F8" w:rsidRDefault="008F0375" w:rsidP="008F0375">
      <w:pPr>
        <w:ind w:left="1701" w:hanging="1701"/>
      </w:pPr>
      <w:r>
        <w:t>AVB</w:t>
      </w:r>
      <w:r>
        <w:tab/>
        <w:t>General Terms and Conditions of Contract for supplying services and work</w:t>
      </w:r>
    </w:p>
    <w:p w14:paraId="2AFC3442" w14:textId="77777777" w:rsidR="008F0375" w:rsidRPr="00C2781B" w:rsidRDefault="008F0375" w:rsidP="008F0375">
      <w:pPr>
        <w:ind w:left="1701" w:hanging="1701"/>
      </w:pPr>
      <w:r>
        <w:t>FK</w:t>
      </w:r>
      <w:r>
        <w:tab/>
        <w:t>Expert</w:t>
      </w:r>
    </w:p>
    <w:p w14:paraId="286D8D49" w14:textId="77777777" w:rsidR="008F0375" w:rsidRDefault="008F0375" w:rsidP="008F0375">
      <w:pPr>
        <w:ind w:left="1701" w:hanging="1701"/>
      </w:pPr>
      <w:r>
        <w:t>FKT</w:t>
      </w:r>
      <w:r>
        <w:tab/>
        <w:t>Expert days</w:t>
      </w:r>
    </w:p>
    <w:p w14:paraId="0DD20409" w14:textId="77777777" w:rsidR="008F0375" w:rsidRPr="00B707EA" w:rsidRDefault="008F0375" w:rsidP="008F0375">
      <w:pPr>
        <w:ind w:left="1701" w:hanging="1701"/>
      </w:pPr>
      <w:r>
        <w:t>KZFK</w:t>
      </w:r>
      <w:r>
        <w:tab/>
        <w:t>Short-term expert</w:t>
      </w:r>
    </w:p>
    <w:p w14:paraId="4CF190EE" w14:textId="77777777" w:rsidR="008F0375" w:rsidRPr="002A43F0" w:rsidRDefault="008F0375" w:rsidP="008F0375">
      <w:pPr>
        <w:ind w:left="1701" w:hanging="1701"/>
      </w:pPr>
      <w:r>
        <w:t>ToRs</w:t>
      </w:r>
      <w:r>
        <w:tab/>
        <w:t>Terms of reference</w:t>
      </w:r>
    </w:p>
    <w:p w14:paraId="6A51D51F" w14:textId="77777777" w:rsidR="008F0375" w:rsidRPr="002A43F0" w:rsidRDefault="008F0375">
      <w:pPr>
        <w:spacing w:after="160" w:line="259" w:lineRule="auto"/>
      </w:pPr>
      <w:r>
        <w:br w:type="page"/>
      </w:r>
    </w:p>
    <w:p w14:paraId="0A96DDA0" w14:textId="77777777" w:rsidR="008F0375" w:rsidRPr="001261F8" w:rsidRDefault="008F0375" w:rsidP="00FD2778">
      <w:pPr>
        <w:pStyle w:val="Heading1"/>
        <w:numPr>
          <w:ilvl w:val="0"/>
          <w:numId w:val="1"/>
        </w:numPr>
      </w:pPr>
      <w:bookmarkStart w:id="5" w:name="_Ref508121651"/>
      <w:bookmarkStart w:id="6" w:name="_Ref508121655"/>
      <w:bookmarkStart w:id="7" w:name="_Toc508619995"/>
      <w:bookmarkStart w:id="8" w:name="_Toc119493821"/>
      <w:bookmarkStart w:id="9" w:name="_Toc173323201"/>
      <w:r>
        <w:lastRenderedPageBreak/>
        <w:t>Context</w:t>
      </w:r>
      <w:bookmarkEnd w:id="5"/>
      <w:bookmarkEnd w:id="6"/>
      <w:bookmarkEnd w:id="7"/>
      <w:bookmarkEnd w:id="8"/>
      <w:bookmarkEnd w:id="9"/>
    </w:p>
    <w:p w14:paraId="0D977A9E" w14:textId="5DF20E76" w:rsidR="006319B9" w:rsidRPr="00246847" w:rsidRDefault="006319B9" w:rsidP="00232B4B">
      <w:pPr>
        <w:pStyle w:val="ListParagraph"/>
        <w:spacing w:before="120" w:after="120"/>
        <w:ind w:left="0"/>
        <w:contextualSpacing w:val="0"/>
        <w:jc w:val="both"/>
      </w:pPr>
      <w:r w:rsidRPr="00246847">
        <w:t>The “Integrated Municipal Development in Armenia” (IMD) project aims to enhance the efficiency, effectiveness, and citizen-orientation of local self-governments. By advising and supporting partner organizations, the project seeks to improve the framework for local development while closely collaborating with selected municipalities known as transformation partners. These efforts focus on implementing reforms to enhance service quality and accessibility, foster local economic growth, optimise local self-governance, and empower citizens in municipal decision-making. Throughout the project duration from April 2024 to March 2027, success stories and lessons learned from transformation partners will be shared through various exchange platforms, ensuring the replication of successful models for integrated municipal development across Armenian local self-governments.</w:t>
      </w:r>
    </w:p>
    <w:p w14:paraId="0747B6A0" w14:textId="77777777" w:rsidR="006319B9" w:rsidRPr="00232B4B" w:rsidRDefault="006319B9" w:rsidP="00232B4B">
      <w:pPr>
        <w:pStyle w:val="ListParagraph"/>
        <w:spacing w:before="120" w:after="120"/>
        <w:ind w:left="0"/>
        <w:contextualSpacing w:val="0"/>
        <w:jc w:val="both"/>
      </w:pPr>
      <w:r w:rsidRPr="00246847">
        <w:t>The projected is implemented by GIZ on behalf of the German Federal Ministry for Economic Cooperation and Development (BMZ) and in partnership with the Ministry of Territorial Administration and Infrastructure (MTAI).</w:t>
      </w:r>
    </w:p>
    <w:p w14:paraId="4723B6F1" w14:textId="77777777" w:rsidR="00232B4B" w:rsidRDefault="00232B4B" w:rsidP="00895067">
      <w:pPr>
        <w:rPr>
          <w:rFonts w:cs="Arial"/>
          <w:b/>
          <w:bCs/>
        </w:rPr>
      </w:pPr>
    </w:p>
    <w:p w14:paraId="4862A622" w14:textId="413C7365" w:rsidR="00895067" w:rsidRDefault="00895067" w:rsidP="00895067">
      <w:pPr>
        <w:rPr>
          <w:rFonts w:cs="Arial"/>
          <w:b/>
          <w:bCs/>
        </w:rPr>
      </w:pPr>
      <w:r>
        <w:rPr>
          <w:rFonts w:cs="Arial"/>
          <w:b/>
          <w:bCs/>
        </w:rPr>
        <w:t>Background</w:t>
      </w:r>
    </w:p>
    <w:p w14:paraId="0B8C44D7" w14:textId="77777777" w:rsidR="00895067" w:rsidRPr="00232B4B" w:rsidRDefault="00895067" w:rsidP="00895067">
      <w:pPr>
        <w:pStyle w:val="ListParagraph"/>
        <w:spacing w:before="120" w:after="120"/>
        <w:ind w:left="0"/>
        <w:contextualSpacing w:val="0"/>
        <w:jc w:val="both"/>
      </w:pPr>
      <w:r w:rsidRPr="00232B4B">
        <w:t xml:space="preserve">In the recent years, GIZ has been extensively involved in modernisation and improvement of human resources (HR), national training systems (NTS), municipal service, formal training formats, and capacity building for municipal servants (including those on discretionary posts). As part of its efforts towards strengthening the Armenian municipalities to become viable structures after consolidation in the framework of the territorial and administrative reform (TARA), since 2016 the Programme has supported the MTAI and consolidated multi-settlement municipalities to improve municipal service with the emphasis on national training systems and enhancement of capacities of municipal servants. To this end, a need is arisen to support the reforms in the municipal service through revisiting the institutional arrangements within the structure of the state authorised agency, namely, the MTAI, with the aim to understand how best it can organise itself in policy making in the area of municipal service, in line with the principles of good governance in local self-governments (LSGs) and provisions of European Charter of Local Self Government.   </w:t>
      </w:r>
    </w:p>
    <w:p w14:paraId="1F39A175" w14:textId="77777777" w:rsidR="00895067" w:rsidRPr="00232B4B" w:rsidRDefault="00895067" w:rsidP="00895067">
      <w:pPr>
        <w:pStyle w:val="ListParagraph"/>
        <w:spacing w:before="120" w:after="120"/>
        <w:ind w:left="0"/>
        <w:contextualSpacing w:val="0"/>
        <w:jc w:val="both"/>
      </w:pPr>
      <w:r w:rsidRPr="00232B4B">
        <w:t>As it currently stands, the municipal service is governed primarily by two departments of the MTAI, the Department for Territorial Administration</w:t>
      </w:r>
      <w:r w:rsidRPr="00232B4B" w:rsidDel="004A0C91">
        <w:t xml:space="preserve"> </w:t>
      </w:r>
      <w:r w:rsidRPr="00232B4B">
        <w:t xml:space="preserve">and the Department for Local-Self Government Policy. The former is involved in a broad variety of activities with the main emphasis on territorial, i.e. regional (marz) development, including balanced or proportional territorial development, conceptualisation of marz development planning, design of operational plans, interaction with the Armenia Territorial Development Fund (currently within the structure of the MTAI), etc. </w:t>
      </w:r>
    </w:p>
    <w:p w14:paraId="00F3C592" w14:textId="77777777" w:rsidR="00895067" w:rsidRPr="00232B4B" w:rsidRDefault="00895067" w:rsidP="00895067">
      <w:pPr>
        <w:pStyle w:val="ListParagraph"/>
        <w:spacing w:before="120" w:after="120"/>
        <w:ind w:left="0"/>
        <w:contextualSpacing w:val="0"/>
        <w:jc w:val="both"/>
      </w:pPr>
      <w:r w:rsidRPr="00232B4B">
        <w:t>Nevertheless, the structural unit responsible for municipal service, including national training systems for municipal servants, is placed in this Department as a division with functions requiring more clarity, and the roles and responsibilities of the staff to be streamlined. This is an essential issue in light of ever-growing role of municipal service, human capital and organisational capacities of municipalities in advancing good local governance and decentralisation reforms in Armenia.</w:t>
      </w:r>
    </w:p>
    <w:p w14:paraId="22EF3121" w14:textId="77777777" w:rsidR="00895067" w:rsidRPr="00232B4B" w:rsidRDefault="00895067" w:rsidP="00895067">
      <w:pPr>
        <w:pStyle w:val="ListParagraph"/>
        <w:spacing w:before="120" w:after="120"/>
        <w:ind w:left="0"/>
        <w:contextualSpacing w:val="0"/>
        <w:jc w:val="both"/>
      </w:pPr>
      <w:r w:rsidRPr="00232B4B">
        <w:t xml:space="preserve">Discussions with the MTAI management revealed a need to scrutinise the functions, roles and responsibilities of the Municipal Service Division and appraise the structural affiliation thereof from the perspective of improving its performance and impact on overall LSGs and national reform priorities, effectiveness and efficiency thereof. This should be done in the context of rapid functional review of the two said departments to identify the most efficient and </w:t>
      </w:r>
      <w:r w:rsidRPr="00232B4B">
        <w:lastRenderedPageBreak/>
        <w:t>performance-oriented operations of the Division of Municipal Service within the organigram of the MTAI.</w:t>
      </w:r>
    </w:p>
    <w:p w14:paraId="4D3C9695" w14:textId="77777777" w:rsidR="00895067" w:rsidRPr="00232B4B" w:rsidRDefault="00895067" w:rsidP="00895067">
      <w:pPr>
        <w:pStyle w:val="1Einrckung"/>
        <w:tabs>
          <w:tab w:val="left" w:pos="0"/>
          <w:tab w:val="left" w:pos="900"/>
          <w:tab w:val="left" w:pos="990"/>
        </w:tabs>
        <w:spacing w:after="120" w:line="276" w:lineRule="auto"/>
        <w:ind w:left="0" w:firstLine="0"/>
        <w:jc w:val="both"/>
      </w:pPr>
      <w:r w:rsidRPr="00232B4B">
        <w:t>In the broader context of GIZ support to MTAI in the area of HR and NTS, this rapid functional review will have implications for the national training system of municipal servants, as well as improved institutional positioning of the municipal HR and NTS within the structural organisation of the MTAI as the state authorised government agency for local self-governance.</w:t>
      </w:r>
    </w:p>
    <w:p w14:paraId="28699E12" w14:textId="1539F356" w:rsidR="00895067" w:rsidRPr="00232B4B" w:rsidRDefault="00895067" w:rsidP="00895067">
      <w:pPr>
        <w:pStyle w:val="1Einrckung"/>
        <w:tabs>
          <w:tab w:val="left" w:pos="0"/>
          <w:tab w:val="left" w:pos="900"/>
          <w:tab w:val="left" w:pos="990"/>
        </w:tabs>
        <w:spacing w:after="120" w:line="276" w:lineRule="auto"/>
        <w:ind w:left="0" w:firstLine="0"/>
        <w:jc w:val="both"/>
      </w:pPr>
      <w:r w:rsidRPr="00232B4B">
        <w:t xml:space="preserve">Against this background, the overall objective of the assignment is to rationalise and streamline the policy, strategy and operational frameworks deployed by the MTAI in the area of municipal HR and NTS. In bunch with other support elements provided by the GIZ (NTS Concept Paper, training of secretaries, training needs assessment, review of sub-legislative framework documents, etc.), this assignment is aimed at possibly thorough covering of the municipal service related issues (both from local and national perspectives) and enabling the MTAI </w:t>
      </w:r>
      <w:r w:rsidR="00433ED0">
        <w:t xml:space="preserve">to </w:t>
      </w:r>
      <w:r w:rsidRPr="00232B4B">
        <w:t xml:space="preserve">increase its efficiency and regulating the sector and identifying more effective measures to support, strategically and methodologically, the LSGs in discharging their legally prescribed functions. </w:t>
      </w:r>
    </w:p>
    <w:p w14:paraId="76E1E2B7" w14:textId="77777777" w:rsidR="00895067" w:rsidRPr="00232B4B" w:rsidRDefault="00895067" w:rsidP="00895067">
      <w:pPr>
        <w:pStyle w:val="1Einrckung"/>
        <w:tabs>
          <w:tab w:val="left" w:pos="0"/>
          <w:tab w:val="left" w:pos="900"/>
          <w:tab w:val="left" w:pos="990"/>
        </w:tabs>
        <w:spacing w:after="120" w:line="276" w:lineRule="auto"/>
        <w:ind w:left="0" w:firstLine="0"/>
        <w:jc w:val="both"/>
      </w:pPr>
      <w:r w:rsidRPr="00232B4B">
        <w:t>This assignment should be implemented in close collaboration with the Department of Territorial Administration of the MTAI, which is responsible for handling the municipal service and NTS, including staffing, staff-lists, organigrams and functional settings of the local self-government bodies in particular, and the MTAI being the state authorised government agency for the sphere. Another key actor, in addition to the GIZ IMD, is the MTAI Department of Local Government Policy.</w:t>
      </w:r>
    </w:p>
    <w:p w14:paraId="74443BFA" w14:textId="52E6DD85" w:rsidR="00DB49F8" w:rsidRPr="00F57397" w:rsidRDefault="00895067" w:rsidP="00F57397">
      <w:pPr>
        <w:pStyle w:val="1Einrckung"/>
        <w:tabs>
          <w:tab w:val="left" w:pos="0"/>
          <w:tab w:val="left" w:pos="900"/>
          <w:tab w:val="left" w:pos="990"/>
        </w:tabs>
        <w:spacing w:after="120" w:line="276" w:lineRule="auto"/>
        <w:ind w:left="0" w:firstLine="0"/>
        <w:jc w:val="both"/>
      </w:pPr>
      <w:r w:rsidRPr="00232B4B">
        <w:t>Among the documents to be scrutinised is the Concept Paper on National Training System for the municipal servants designed and submitted to the MTAI with the support of GIZ.</w:t>
      </w:r>
    </w:p>
    <w:p w14:paraId="0856C8E1" w14:textId="7D3871D4" w:rsidR="008F0375" w:rsidRPr="001261F8" w:rsidRDefault="008F0375" w:rsidP="00FD2778">
      <w:pPr>
        <w:pStyle w:val="Heading1"/>
        <w:numPr>
          <w:ilvl w:val="0"/>
          <w:numId w:val="1"/>
        </w:numPr>
      </w:pPr>
      <w:bookmarkStart w:id="10" w:name="_Hlk119490425"/>
      <w:bookmarkStart w:id="11" w:name="_Ref508121704"/>
      <w:bookmarkStart w:id="12" w:name="_Ref508121798"/>
      <w:bookmarkStart w:id="13" w:name="_Ref508122104"/>
      <w:bookmarkStart w:id="14" w:name="_Ref508122514"/>
      <w:bookmarkStart w:id="15" w:name="_Ref508122551"/>
      <w:bookmarkStart w:id="16" w:name="_Ref508122617"/>
      <w:bookmarkStart w:id="17" w:name="_Toc508619996"/>
      <w:bookmarkStart w:id="18" w:name="_Toc119493822"/>
      <w:bookmarkStart w:id="19" w:name="_Toc173323202"/>
      <w:r>
        <w:t>Tasks to be performed by the contractor</w:t>
      </w:r>
      <w:bookmarkEnd w:id="10"/>
      <w:bookmarkEnd w:id="11"/>
      <w:bookmarkEnd w:id="12"/>
      <w:bookmarkEnd w:id="13"/>
      <w:bookmarkEnd w:id="14"/>
      <w:bookmarkEnd w:id="15"/>
      <w:bookmarkEnd w:id="16"/>
      <w:bookmarkEnd w:id="17"/>
      <w:bookmarkEnd w:id="18"/>
      <w:bookmarkEnd w:id="19"/>
    </w:p>
    <w:p w14:paraId="36A45F60" w14:textId="77777777" w:rsidR="00980CBC" w:rsidRDefault="00ED7487" w:rsidP="00ED7487">
      <w:r>
        <w:t>The contractor is responsible for providing the following services:</w:t>
      </w:r>
    </w:p>
    <w:p w14:paraId="5378E24A" w14:textId="77777777" w:rsidR="00AC786B" w:rsidRDefault="00AC786B" w:rsidP="00AC786B">
      <w:pPr>
        <w:pStyle w:val="ListParagraph"/>
        <w:numPr>
          <w:ilvl w:val="0"/>
          <w:numId w:val="6"/>
        </w:numPr>
        <w:spacing w:before="120" w:after="0"/>
        <w:contextualSpacing w:val="0"/>
        <w:rPr>
          <w:rFonts w:cs="Arial"/>
          <w:b/>
        </w:rPr>
      </w:pPr>
      <w:r w:rsidRPr="000F2F93">
        <w:rPr>
          <w:rFonts w:cs="Arial"/>
          <w:b/>
        </w:rPr>
        <w:t xml:space="preserve">Task 1: </w:t>
      </w:r>
      <w:r>
        <w:rPr>
          <w:rFonts w:cs="Arial"/>
          <w:b/>
        </w:rPr>
        <w:t>Desk review of the relevant policy and legal framework</w:t>
      </w:r>
    </w:p>
    <w:p w14:paraId="1E926DAA" w14:textId="0A0B07BC" w:rsidR="00AC786B" w:rsidRPr="003A1437" w:rsidRDefault="003A1437" w:rsidP="003A1437">
      <w:pPr>
        <w:pStyle w:val="ListParagraph"/>
        <w:spacing w:before="120" w:after="0"/>
        <w:ind w:left="425"/>
        <w:contextualSpacing w:val="0"/>
        <w:jc w:val="both"/>
        <w:rPr>
          <w:rFonts w:cs="Arial"/>
          <w:bCs/>
        </w:rPr>
      </w:pPr>
      <w:r w:rsidRPr="000F2F93">
        <w:rPr>
          <w:rFonts w:cs="Arial"/>
          <w:bCs/>
        </w:rPr>
        <w:t xml:space="preserve">The Contractor </w:t>
      </w:r>
      <w:r>
        <w:rPr>
          <w:rFonts w:cs="Arial"/>
          <w:bCs/>
        </w:rPr>
        <w:t xml:space="preserve">conducts a desk review </w:t>
      </w:r>
      <w:r w:rsidRPr="00221583">
        <w:rPr>
          <w:rFonts w:cs="Arial"/>
          <w:bCs/>
        </w:rPr>
        <w:t>of relevant</w:t>
      </w:r>
      <w:r>
        <w:rPr>
          <w:rFonts w:cs="Arial"/>
          <w:bCs/>
          <w:lang w:val="hy-AM"/>
        </w:rPr>
        <w:t xml:space="preserve"> </w:t>
      </w:r>
      <w:r>
        <w:rPr>
          <w:rFonts w:cs="Arial"/>
          <w:bCs/>
        </w:rPr>
        <w:t>policies and</w:t>
      </w:r>
      <w:r w:rsidRPr="00221583">
        <w:rPr>
          <w:rFonts w:cs="Arial"/>
          <w:bCs/>
        </w:rPr>
        <w:t xml:space="preserve"> documents</w:t>
      </w:r>
      <w:r>
        <w:rPr>
          <w:rFonts w:cs="Arial"/>
          <w:bCs/>
        </w:rPr>
        <w:t xml:space="preserve">, including legal and sub-legislative framework, as well as holds meetings and consultations with the respective officials and responsible officers of the MTAI and selected municipalities, predominantly staff secretaries in order to approach the Task from the standpoint of reconciliating the actual needs with the best practices. </w:t>
      </w:r>
      <w:r w:rsidRPr="00191C9F">
        <w:rPr>
          <w:rFonts w:cs="Arial"/>
          <w:bCs/>
        </w:rPr>
        <w:t>The intent is to shape the desired state of affairs, which subsequently will lead to development of recommendations on functional and organisational streamlining within the MTAI with regard to municipal service.</w:t>
      </w:r>
    </w:p>
    <w:p w14:paraId="60D8EF75" w14:textId="77777777" w:rsidR="00907777" w:rsidRDefault="00907777" w:rsidP="00907777">
      <w:pPr>
        <w:pStyle w:val="ListParagraph"/>
        <w:numPr>
          <w:ilvl w:val="0"/>
          <w:numId w:val="6"/>
        </w:numPr>
        <w:spacing w:before="120" w:after="0"/>
        <w:contextualSpacing w:val="0"/>
        <w:jc w:val="both"/>
        <w:rPr>
          <w:rFonts w:cs="Arial"/>
          <w:b/>
        </w:rPr>
      </w:pPr>
      <w:r w:rsidRPr="000F2F93">
        <w:rPr>
          <w:rFonts w:cs="Arial"/>
          <w:b/>
        </w:rPr>
        <w:t xml:space="preserve">Task 2: </w:t>
      </w:r>
      <w:r>
        <w:rPr>
          <w:rFonts w:cs="Arial"/>
          <w:b/>
        </w:rPr>
        <w:t xml:space="preserve">Design of the Rapid Functional Review </w:t>
      </w:r>
    </w:p>
    <w:p w14:paraId="60F11F00" w14:textId="701DC408" w:rsidR="00907777" w:rsidRPr="00FD31F4" w:rsidRDefault="002321D0" w:rsidP="00FD31F4">
      <w:pPr>
        <w:pStyle w:val="ListParagraph"/>
        <w:spacing w:before="120" w:after="0"/>
        <w:ind w:left="425"/>
        <w:contextualSpacing w:val="0"/>
        <w:jc w:val="both"/>
        <w:rPr>
          <w:rFonts w:cs="Arial"/>
          <w:bCs/>
        </w:rPr>
      </w:pPr>
      <w:r>
        <w:rPr>
          <w:rFonts w:cs="Arial"/>
          <w:bCs/>
        </w:rPr>
        <w:t xml:space="preserve">The Contractor undertakes the rapid functional review of the two departments of MTAI, which will include scrutiny of the ministry organigram, statutory functions thereof, as well as descriptions, staffing and roles and responsibilities assigned to the positions on the staff-list. The Review requires extensive exchange with the MTAI Departments of Territorial Administration and the LSG Policy and close collaboration with GIZ. The intent is to gather more detailed data and information on functions and structures within the MTAI concerning municipal service and come up with respective recommendations that best fit </w:t>
      </w:r>
      <w:r>
        <w:rPr>
          <w:rFonts w:cs="Arial"/>
          <w:bCs/>
        </w:rPr>
        <w:lastRenderedPageBreak/>
        <w:t>the current priorities of the ministry and the desired state of affairs, in line with best management practices.</w:t>
      </w:r>
    </w:p>
    <w:p w14:paraId="0FA4BB45" w14:textId="77777777" w:rsidR="007759E3" w:rsidRDefault="007759E3" w:rsidP="007759E3">
      <w:pPr>
        <w:pStyle w:val="ListParagraph"/>
        <w:numPr>
          <w:ilvl w:val="0"/>
          <w:numId w:val="6"/>
        </w:numPr>
        <w:spacing w:before="120" w:after="0"/>
        <w:contextualSpacing w:val="0"/>
        <w:jc w:val="both"/>
        <w:rPr>
          <w:rFonts w:cs="Arial"/>
          <w:bCs/>
        </w:rPr>
      </w:pPr>
      <w:r>
        <w:rPr>
          <w:rFonts w:cs="Arial"/>
          <w:b/>
        </w:rPr>
        <w:t>Task 3: Presentation of the draft Rapid Functional Review to the MTAI and GIZ</w:t>
      </w:r>
    </w:p>
    <w:p w14:paraId="1D3238D1" w14:textId="6163EC7F" w:rsidR="00501474" w:rsidRPr="00501474" w:rsidRDefault="00FD31F4" w:rsidP="00501474">
      <w:pPr>
        <w:pStyle w:val="ListParagraph"/>
        <w:spacing w:before="120"/>
        <w:ind w:left="425"/>
        <w:contextualSpacing w:val="0"/>
        <w:jc w:val="both"/>
        <w:rPr>
          <w:rFonts w:cs="Arial"/>
          <w:bCs/>
        </w:rPr>
      </w:pPr>
      <w:r>
        <w:rPr>
          <w:rFonts w:cs="Arial"/>
          <w:bCs/>
        </w:rPr>
        <w:t>The contractor will make a presentation to the MTAI and GIZ on the results of the assignment in order to obtain final comments and recommendations of the parties for incorporation into the drafts and/or the report.</w:t>
      </w:r>
    </w:p>
    <w:p w14:paraId="1AC3BD5C" w14:textId="587BB742" w:rsidR="00501474" w:rsidRDefault="00501474" w:rsidP="00501474">
      <w:pPr>
        <w:jc w:val="both"/>
      </w:pPr>
      <w:r w:rsidRPr="00EE4B72">
        <w:rPr>
          <w:rFonts w:cs="Arial"/>
        </w:rPr>
        <w:t>Any further task arising during the implementation of the assignment needs prior agreement between the Contractor and GIZ.</w:t>
      </w:r>
    </w:p>
    <w:p w14:paraId="52F4EDE9" w14:textId="77777777" w:rsidR="00ED7487" w:rsidRDefault="000D199D" w:rsidP="00A76D28">
      <w:pPr>
        <w:pStyle w:val="ZwischenberschriftmitAbstand"/>
      </w:pPr>
      <w:r>
        <w:t>Certain milestones, as laid out in the table below, are to be achieved during the contract term:</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4032"/>
        <w:gridCol w:w="1161"/>
        <w:gridCol w:w="1336"/>
        <w:gridCol w:w="1199"/>
      </w:tblGrid>
      <w:tr w:rsidR="00953833" w:rsidRPr="000F2F93" w14:paraId="03CC2A69" w14:textId="77777777" w:rsidTr="00912DF2">
        <w:trPr>
          <w:jc w:val="center"/>
        </w:trPr>
        <w:tc>
          <w:tcPr>
            <w:tcW w:w="5371" w:type="dxa"/>
            <w:gridSpan w:val="2"/>
            <w:shd w:val="clear" w:color="auto" w:fill="D9D9D9"/>
            <w:vAlign w:val="center"/>
          </w:tcPr>
          <w:p w14:paraId="092302BF" w14:textId="77777777" w:rsidR="00953833" w:rsidRPr="000F2F93" w:rsidRDefault="00953833" w:rsidP="00912DF2">
            <w:pPr>
              <w:snapToGrid w:val="0"/>
              <w:spacing w:before="60" w:after="60" w:line="276" w:lineRule="auto"/>
              <w:rPr>
                <w:rFonts w:eastAsia="Times New Roman" w:cs="Arial"/>
                <w:b/>
                <w:bCs/>
                <w:sz w:val="20"/>
                <w:szCs w:val="20"/>
                <w:lang w:eastAsia="ru-RU"/>
              </w:rPr>
            </w:pPr>
            <w:r w:rsidRPr="000F2F93">
              <w:rPr>
                <w:rFonts w:eastAsia="Times New Roman" w:cs="Arial"/>
                <w:b/>
                <w:bCs/>
                <w:sz w:val="20"/>
                <w:szCs w:val="20"/>
                <w:lang w:eastAsia="ru-RU"/>
              </w:rPr>
              <w:t>Deliverables</w:t>
            </w:r>
          </w:p>
        </w:tc>
        <w:tc>
          <w:tcPr>
            <w:tcW w:w="1161" w:type="dxa"/>
            <w:shd w:val="clear" w:color="auto" w:fill="D9D9D9"/>
            <w:vAlign w:val="center"/>
          </w:tcPr>
          <w:p w14:paraId="1F2D0F43" w14:textId="77777777" w:rsidR="00953833" w:rsidRPr="005B6F44" w:rsidRDefault="00953833" w:rsidP="00912DF2">
            <w:pPr>
              <w:snapToGrid w:val="0"/>
              <w:spacing w:before="60" w:after="60" w:line="276" w:lineRule="auto"/>
              <w:jc w:val="center"/>
              <w:rPr>
                <w:rFonts w:eastAsia="Times New Roman" w:cs="Arial"/>
                <w:b/>
                <w:bCs/>
                <w:sz w:val="20"/>
                <w:szCs w:val="20"/>
                <w:lang w:val="hy-AM" w:eastAsia="ru-RU"/>
              </w:rPr>
            </w:pPr>
            <w:r>
              <w:rPr>
                <w:rFonts w:eastAsia="Times New Roman" w:cs="Arial"/>
                <w:b/>
                <w:bCs/>
                <w:sz w:val="20"/>
                <w:szCs w:val="20"/>
                <w:lang w:eastAsia="ru-RU"/>
              </w:rPr>
              <w:t>Language</w:t>
            </w:r>
          </w:p>
        </w:tc>
        <w:tc>
          <w:tcPr>
            <w:tcW w:w="1336" w:type="dxa"/>
            <w:shd w:val="clear" w:color="auto" w:fill="D9D9D9"/>
          </w:tcPr>
          <w:p w14:paraId="1EAF47D2" w14:textId="77777777" w:rsidR="00953833" w:rsidRPr="000F2F93" w:rsidRDefault="00953833" w:rsidP="00912DF2">
            <w:pPr>
              <w:snapToGrid w:val="0"/>
              <w:spacing w:before="60" w:after="60" w:line="276" w:lineRule="auto"/>
              <w:jc w:val="center"/>
              <w:rPr>
                <w:rFonts w:eastAsia="Times New Roman" w:cs="Arial"/>
                <w:b/>
                <w:bCs/>
                <w:sz w:val="20"/>
                <w:szCs w:val="20"/>
                <w:lang w:eastAsia="ru-RU"/>
              </w:rPr>
            </w:pPr>
            <w:r w:rsidRPr="000F2F93">
              <w:rPr>
                <w:rFonts w:eastAsia="Times New Roman" w:cs="Arial"/>
                <w:b/>
                <w:bCs/>
                <w:sz w:val="20"/>
                <w:szCs w:val="20"/>
                <w:lang w:eastAsia="ru-RU"/>
              </w:rPr>
              <w:t>Expert days (up to)</w:t>
            </w:r>
          </w:p>
        </w:tc>
        <w:tc>
          <w:tcPr>
            <w:tcW w:w="1199" w:type="dxa"/>
            <w:shd w:val="clear" w:color="auto" w:fill="D9D9D9"/>
            <w:vAlign w:val="center"/>
          </w:tcPr>
          <w:p w14:paraId="45630BE5" w14:textId="77777777" w:rsidR="00953833" w:rsidRPr="000F2F93" w:rsidRDefault="00953833" w:rsidP="00912DF2">
            <w:pPr>
              <w:snapToGrid w:val="0"/>
              <w:spacing w:before="60" w:after="60" w:line="276" w:lineRule="auto"/>
              <w:jc w:val="center"/>
              <w:rPr>
                <w:rFonts w:eastAsia="Times New Roman" w:cs="Arial"/>
                <w:b/>
                <w:bCs/>
                <w:sz w:val="20"/>
                <w:szCs w:val="20"/>
                <w:lang w:eastAsia="ru-RU"/>
              </w:rPr>
            </w:pPr>
            <w:r w:rsidRPr="000F2F93">
              <w:rPr>
                <w:rFonts w:eastAsia="Times New Roman" w:cs="Arial"/>
                <w:b/>
                <w:bCs/>
                <w:sz w:val="20"/>
                <w:szCs w:val="20"/>
                <w:lang w:eastAsia="ru-RU"/>
              </w:rPr>
              <w:t>Deadline</w:t>
            </w:r>
          </w:p>
        </w:tc>
      </w:tr>
      <w:tr w:rsidR="00953833" w:rsidRPr="000F2F93" w14:paraId="0A7963CD" w14:textId="77777777" w:rsidTr="00912DF2">
        <w:trPr>
          <w:jc w:val="center"/>
        </w:trPr>
        <w:tc>
          <w:tcPr>
            <w:tcW w:w="1339" w:type="dxa"/>
            <w:shd w:val="clear" w:color="auto" w:fill="auto"/>
            <w:vAlign w:val="center"/>
          </w:tcPr>
          <w:p w14:paraId="4A83A5EE" w14:textId="77777777" w:rsidR="00953833" w:rsidRPr="000F2F93" w:rsidRDefault="00953833" w:rsidP="00912DF2">
            <w:pPr>
              <w:snapToGrid w:val="0"/>
              <w:spacing w:before="60" w:after="60" w:line="276" w:lineRule="auto"/>
              <w:rPr>
                <w:rFonts w:eastAsia="Times New Roman" w:cs="Arial"/>
                <w:b/>
                <w:bCs/>
                <w:sz w:val="20"/>
                <w:szCs w:val="20"/>
                <w:lang w:eastAsia="ru-RU"/>
              </w:rPr>
            </w:pPr>
            <w:r>
              <w:rPr>
                <w:rFonts w:eastAsia="Times New Roman" w:cs="Arial"/>
                <w:b/>
                <w:bCs/>
                <w:sz w:val="20"/>
                <w:szCs w:val="20"/>
                <w:lang w:eastAsia="ru-RU"/>
              </w:rPr>
              <w:t>Preparatory phase</w:t>
            </w:r>
          </w:p>
        </w:tc>
        <w:tc>
          <w:tcPr>
            <w:tcW w:w="4032" w:type="dxa"/>
            <w:shd w:val="clear" w:color="auto" w:fill="auto"/>
            <w:vAlign w:val="center"/>
          </w:tcPr>
          <w:p w14:paraId="3781869C" w14:textId="77777777" w:rsidR="00953833" w:rsidRDefault="00953833" w:rsidP="00912DF2">
            <w:pPr>
              <w:snapToGrid w:val="0"/>
              <w:spacing w:before="60" w:after="60" w:line="276" w:lineRule="auto"/>
              <w:rPr>
                <w:rFonts w:eastAsia="Times New Roman" w:cs="Arial"/>
                <w:sz w:val="20"/>
                <w:szCs w:val="20"/>
                <w:lang w:eastAsia="ru-RU"/>
              </w:rPr>
            </w:pPr>
            <w:r>
              <w:rPr>
                <w:rFonts w:eastAsia="Times New Roman" w:cs="Arial"/>
                <w:sz w:val="20"/>
                <w:szCs w:val="20"/>
                <w:lang w:eastAsia="ru-RU"/>
              </w:rPr>
              <w:t>Designed and agreed plan of implementation with the GIZ and MTAI</w:t>
            </w:r>
          </w:p>
        </w:tc>
        <w:tc>
          <w:tcPr>
            <w:tcW w:w="1161" w:type="dxa"/>
            <w:vAlign w:val="center"/>
          </w:tcPr>
          <w:p w14:paraId="7F15DEC4" w14:textId="77777777" w:rsidR="00953833" w:rsidRDefault="00953833" w:rsidP="00912DF2">
            <w:pPr>
              <w:snapToGrid w:val="0"/>
              <w:spacing w:before="60" w:after="60" w:line="276" w:lineRule="auto"/>
              <w:jc w:val="center"/>
              <w:rPr>
                <w:rFonts w:eastAsia="Times New Roman" w:cs="Arial"/>
                <w:sz w:val="20"/>
                <w:szCs w:val="20"/>
                <w:lang w:eastAsia="ru-RU"/>
              </w:rPr>
            </w:pPr>
            <w:r>
              <w:rPr>
                <w:rFonts w:eastAsia="Times New Roman" w:cs="Arial"/>
                <w:sz w:val="20"/>
                <w:szCs w:val="20"/>
                <w:lang w:eastAsia="ru-RU"/>
              </w:rPr>
              <w:t>ARM</w:t>
            </w:r>
          </w:p>
        </w:tc>
        <w:tc>
          <w:tcPr>
            <w:tcW w:w="1336" w:type="dxa"/>
            <w:shd w:val="clear" w:color="auto" w:fill="auto"/>
            <w:vAlign w:val="center"/>
          </w:tcPr>
          <w:p w14:paraId="05100C14" w14:textId="0404AA0F" w:rsidR="00953833" w:rsidRDefault="00AB0D16" w:rsidP="00912DF2">
            <w:pPr>
              <w:snapToGrid w:val="0"/>
              <w:spacing w:before="60" w:after="60" w:line="276" w:lineRule="auto"/>
              <w:jc w:val="center"/>
              <w:rPr>
                <w:rFonts w:eastAsia="Times New Roman" w:cs="Arial"/>
                <w:sz w:val="20"/>
                <w:szCs w:val="20"/>
                <w:lang w:eastAsia="ru-RU"/>
              </w:rPr>
            </w:pPr>
            <w:r>
              <w:rPr>
                <w:rFonts w:eastAsia="Times New Roman" w:cs="Arial"/>
                <w:sz w:val="20"/>
                <w:szCs w:val="20"/>
                <w:lang w:eastAsia="ru-RU"/>
              </w:rPr>
              <w:t>1</w:t>
            </w:r>
          </w:p>
        </w:tc>
        <w:tc>
          <w:tcPr>
            <w:tcW w:w="1199" w:type="dxa"/>
            <w:shd w:val="clear" w:color="auto" w:fill="auto"/>
            <w:vAlign w:val="center"/>
          </w:tcPr>
          <w:p w14:paraId="53AC0CF1" w14:textId="07559891" w:rsidR="00953833" w:rsidRPr="00DF7C59" w:rsidRDefault="00060702" w:rsidP="00912DF2">
            <w:pPr>
              <w:snapToGrid w:val="0"/>
              <w:spacing w:before="60" w:after="60" w:line="276" w:lineRule="auto"/>
              <w:jc w:val="center"/>
              <w:rPr>
                <w:rFonts w:eastAsia="Times New Roman" w:cs="Arial"/>
                <w:sz w:val="20"/>
                <w:szCs w:val="20"/>
                <w:highlight w:val="yellow"/>
                <w:lang w:eastAsia="ru-RU"/>
              </w:rPr>
            </w:pPr>
            <w:r>
              <w:rPr>
                <w:rFonts w:eastAsia="Times New Roman" w:cs="Arial"/>
                <w:sz w:val="20"/>
                <w:szCs w:val="20"/>
                <w:lang w:eastAsia="ru-RU"/>
              </w:rPr>
              <w:t xml:space="preserve">By </w:t>
            </w:r>
            <w:r w:rsidR="00A02993" w:rsidRPr="00246847">
              <w:rPr>
                <w:rFonts w:eastAsia="Times New Roman" w:cs="Arial"/>
                <w:sz w:val="20"/>
                <w:szCs w:val="20"/>
                <w:lang w:eastAsia="ru-RU"/>
              </w:rPr>
              <w:t>September 20</w:t>
            </w:r>
            <w:r w:rsidR="00FE0CE6" w:rsidRPr="00246847">
              <w:rPr>
                <w:rFonts w:eastAsia="Times New Roman" w:cs="Arial"/>
                <w:sz w:val="20"/>
                <w:szCs w:val="20"/>
                <w:lang w:eastAsia="ru-RU"/>
              </w:rPr>
              <w:t>, 2024</w:t>
            </w:r>
          </w:p>
        </w:tc>
      </w:tr>
      <w:tr w:rsidR="00953833" w:rsidRPr="000F2F93" w14:paraId="1321CED7" w14:textId="77777777" w:rsidTr="00912DF2">
        <w:trPr>
          <w:jc w:val="center"/>
        </w:trPr>
        <w:tc>
          <w:tcPr>
            <w:tcW w:w="1339" w:type="dxa"/>
            <w:shd w:val="clear" w:color="auto" w:fill="auto"/>
            <w:vAlign w:val="center"/>
          </w:tcPr>
          <w:p w14:paraId="6DF678AD" w14:textId="77777777" w:rsidR="00953833" w:rsidRPr="000F2F93" w:rsidRDefault="00953833" w:rsidP="00912DF2">
            <w:pPr>
              <w:snapToGrid w:val="0"/>
              <w:spacing w:before="60" w:after="60" w:line="276" w:lineRule="auto"/>
              <w:rPr>
                <w:rFonts w:eastAsia="Times New Roman" w:cs="Arial"/>
                <w:b/>
                <w:bCs/>
                <w:sz w:val="20"/>
                <w:szCs w:val="20"/>
                <w:lang w:eastAsia="ru-RU"/>
              </w:rPr>
            </w:pPr>
            <w:r w:rsidRPr="000F2F93">
              <w:rPr>
                <w:rFonts w:eastAsia="Times New Roman" w:cs="Arial"/>
                <w:b/>
                <w:bCs/>
                <w:sz w:val="20"/>
                <w:szCs w:val="20"/>
                <w:lang w:eastAsia="ru-RU"/>
              </w:rPr>
              <w:t>Task 1</w:t>
            </w:r>
          </w:p>
        </w:tc>
        <w:tc>
          <w:tcPr>
            <w:tcW w:w="4032" w:type="dxa"/>
            <w:shd w:val="clear" w:color="auto" w:fill="auto"/>
            <w:vAlign w:val="center"/>
          </w:tcPr>
          <w:p w14:paraId="23807072" w14:textId="41242D88" w:rsidR="00953833" w:rsidRPr="000F2F93" w:rsidRDefault="00953833" w:rsidP="00912DF2">
            <w:pPr>
              <w:snapToGrid w:val="0"/>
              <w:spacing w:before="60" w:after="60" w:line="276" w:lineRule="auto"/>
              <w:rPr>
                <w:rFonts w:eastAsia="Times New Roman" w:cs="Arial"/>
                <w:sz w:val="20"/>
                <w:szCs w:val="20"/>
                <w:lang w:eastAsia="ru-RU"/>
              </w:rPr>
            </w:pPr>
            <w:r>
              <w:rPr>
                <w:rFonts w:eastAsia="Times New Roman" w:cs="Arial"/>
                <w:sz w:val="20"/>
                <w:szCs w:val="20"/>
                <w:lang w:eastAsia="ru-RU"/>
              </w:rPr>
              <w:t>Desk review r</w:t>
            </w:r>
            <w:r w:rsidRPr="00971AA7">
              <w:rPr>
                <w:rFonts w:eastAsia="Times New Roman" w:cs="Arial"/>
                <w:sz w:val="20"/>
                <w:szCs w:val="20"/>
                <w:lang w:eastAsia="ru-RU"/>
              </w:rPr>
              <w:t>eport</w:t>
            </w:r>
            <w:r>
              <w:rPr>
                <w:rFonts w:eastAsia="Times New Roman" w:cs="Arial"/>
                <w:sz w:val="20"/>
                <w:szCs w:val="20"/>
                <w:lang w:eastAsia="ru-RU"/>
              </w:rPr>
              <w:t xml:space="preserve">, including </w:t>
            </w:r>
            <w:r w:rsidRPr="00971AA7">
              <w:rPr>
                <w:rFonts w:eastAsia="Times New Roman" w:cs="Arial"/>
                <w:sz w:val="20"/>
                <w:szCs w:val="20"/>
                <w:lang w:eastAsia="ru-RU"/>
              </w:rPr>
              <w:t>implementation modalities, conducted interviews</w:t>
            </w:r>
            <w:r w:rsidR="00DC0697">
              <w:rPr>
                <w:rFonts w:eastAsia="Times New Roman" w:cs="Arial"/>
                <w:sz w:val="20"/>
                <w:szCs w:val="20"/>
                <w:lang w:eastAsia="ru-RU"/>
              </w:rPr>
              <w:t xml:space="preserve"> (including visits to selected municipalities)</w:t>
            </w:r>
            <w:r w:rsidRPr="00971AA7">
              <w:rPr>
                <w:rFonts w:eastAsia="Times New Roman" w:cs="Arial"/>
                <w:sz w:val="20"/>
                <w:szCs w:val="20"/>
                <w:lang w:eastAsia="ru-RU"/>
              </w:rPr>
              <w:t xml:space="preserve"> and recommendations for improvement</w:t>
            </w:r>
          </w:p>
        </w:tc>
        <w:tc>
          <w:tcPr>
            <w:tcW w:w="1161" w:type="dxa"/>
            <w:vAlign w:val="center"/>
          </w:tcPr>
          <w:p w14:paraId="116698F6" w14:textId="77777777" w:rsidR="00953833" w:rsidRDefault="00953833" w:rsidP="00912DF2">
            <w:pPr>
              <w:snapToGrid w:val="0"/>
              <w:spacing w:before="60" w:after="60" w:line="276" w:lineRule="auto"/>
              <w:jc w:val="center"/>
              <w:rPr>
                <w:rFonts w:eastAsia="Times New Roman" w:cs="Arial"/>
                <w:sz w:val="20"/>
                <w:szCs w:val="20"/>
                <w:lang w:eastAsia="ru-RU"/>
              </w:rPr>
            </w:pPr>
            <w:r>
              <w:rPr>
                <w:rFonts w:eastAsia="Times New Roman" w:cs="Arial"/>
                <w:sz w:val="20"/>
                <w:szCs w:val="20"/>
                <w:lang w:eastAsia="ru-RU"/>
              </w:rPr>
              <w:t>ARM</w:t>
            </w:r>
          </w:p>
        </w:tc>
        <w:tc>
          <w:tcPr>
            <w:tcW w:w="1336" w:type="dxa"/>
            <w:shd w:val="clear" w:color="auto" w:fill="auto"/>
            <w:vAlign w:val="center"/>
          </w:tcPr>
          <w:p w14:paraId="2806DD26" w14:textId="6CB26C78" w:rsidR="00953833" w:rsidRPr="000F2F93" w:rsidRDefault="00845CDC" w:rsidP="00912DF2">
            <w:pPr>
              <w:snapToGrid w:val="0"/>
              <w:spacing w:before="60" w:after="60" w:line="276" w:lineRule="auto"/>
              <w:jc w:val="center"/>
              <w:rPr>
                <w:rFonts w:eastAsia="Times New Roman" w:cs="Arial"/>
                <w:sz w:val="20"/>
                <w:szCs w:val="20"/>
                <w:lang w:eastAsia="ru-RU"/>
              </w:rPr>
            </w:pPr>
            <w:r>
              <w:rPr>
                <w:rFonts w:eastAsia="Times New Roman" w:cs="Arial"/>
                <w:sz w:val="20"/>
                <w:szCs w:val="20"/>
                <w:lang w:eastAsia="ru-RU"/>
              </w:rPr>
              <w:t>18</w:t>
            </w:r>
          </w:p>
        </w:tc>
        <w:tc>
          <w:tcPr>
            <w:tcW w:w="1199" w:type="dxa"/>
            <w:shd w:val="clear" w:color="auto" w:fill="auto"/>
            <w:vAlign w:val="center"/>
          </w:tcPr>
          <w:p w14:paraId="2A5ED518" w14:textId="3AA33667" w:rsidR="00953833" w:rsidRPr="00DF7C59" w:rsidRDefault="00060702" w:rsidP="00912DF2">
            <w:pPr>
              <w:snapToGrid w:val="0"/>
              <w:spacing w:before="60" w:after="60" w:line="276" w:lineRule="auto"/>
              <w:jc w:val="center"/>
              <w:rPr>
                <w:rFonts w:eastAsia="Times New Roman" w:cs="Arial"/>
                <w:sz w:val="20"/>
                <w:szCs w:val="20"/>
                <w:highlight w:val="yellow"/>
                <w:lang w:eastAsia="ru-RU"/>
              </w:rPr>
            </w:pPr>
            <w:r>
              <w:rPr>
                <w:rFonts w:eastAsia="Times New Roman" w:cs="Arial"/>
                <w:sz w:val="20"/>
                <w:szCs w:val="20"/>
                <w:lang w:eastAsia="ru-RU"/>
              </w:rPr>
              <w:t xml:space="preserve">By </w:t>
            </w:r>
            <w:r w:rsidR="007A2EB8" w:rsidRPr="00246847">
              <w:rPr>
                <w:rFonts w:eastAsia="Times New Roman" w:cs="Arial"/>
                <w:sz w:val="20"/>
                <w:szCs w:val="20"/>
                <w:lang w:eastAsia="ru-RU"/>
              </w:rPr>
              <w:t>November</w:t>
            </w:r>
            <w:r>
              <w:rPr>
                <w:rFonts w:eastAsia="Times New Roman" w:cs="Arial"/>
                <w:sz w:val="20"/>
                <w:szCs w:val="20"/>
                <w:lang w:eastAsia="ru-RU"/>
              </w:rPr>
              <w:t xml:space="preserve"> 8</w:t>
            </w:r>
            <w:r w:rsidR="00FE0CE6" w:rsidRPr="00246847">
              <w:rPr>
                <w:rFonts w:eastAsia="Times New Roman" w:cs="Arial"/>
                <w:sz w:val="20"/>
                <w:szCs w:val="20"/>
                <w:lang w:eastAsia="ru-RU"/>
              </w:rPr>
              <w:t>, 2024</w:t>
            </w:r>
          </w:p>
        </w:tc>
      </w:tr>
      <w:tr w:rsidR="00953833" w:rsidRPr="000F2F93" w14:paraId="1934977B" w14:textId="77777777" w:rsidTr="00912DF2">
        <w:trPr>
          <w:jc w:val="center"/>
        </w:trPr>
        <w:tc>
          <w:tcPr>
            <w:tcW w:w="1339" w:type="dxa"/>
            <w:vMerge w:val="restart"/>
            <w:shd w:val="clear" w:color="auto" w:fill="auto"/>
            <w:vAlign w:val="center"/>
          </w:tcPr>
          <w:p w14:paraId="1308CEC6" w14:textId="77777777" w:rsidR="00953833" w:rsidRPr="000F2F93" w:rsidRDefault="00953833" w:rsidP="00912DF2">
            <w:pPr>
              <w:snapToGrid w:val="0"/>
              <w:spacing w:before="60" w:after="60" w:line="276" w:lineRule="auto"/>
              <w:rPr>
                <w:rFonts w:eastAsia="Times New Roman" w:cs="Arial"/>
                <w:sz w:val="20"/>
                <w:szCs w:val="20"/>
                <w:lang w:eastAsia="ru-RU"/>
              </w:rPr>
            </w:pPr>
            <w:r w:rsidRPr="000F2F93">
              <w:rPr>
                <w:rFonts w:eastAsia="Times New Roman" w:cs="Arial"/>
                <w:b/>
                <w:sz w:val="20"/>
                <w:szCs w:val="20"/>
                <w:lang w:eastAsia="ru-RU"/>
              </w:rPr>
              <w:t>Task 2</w:t>
            </w:r>
          </w:p>
        </w:tc>
        <w:tc>
          <w:tcPr>
            <w:tcW w:w="4032" w:type="dxa"/>
            <w:shd w:val="clear" w:color="auto" w:fill="auto"/>
            <w:vAlign w:val="center"/>
          </w:tcPr>
          <w:p w14:paraId="53F12C0A" w14:textId="77777777" w:rsidR="00953833" w:rsidRPr="000F2F93" w:rsidRDefault="00953833" w:rsidP="00912DF2">
            <w:pPr>
              <w:snapToGrid w:val="0"/>
              <w:spacing w:before="60" w:after="60" w:line="276" w:lineRule="auto"/>
              <w:rPr>
                <w:rFonts w:eastAsia="Times New Roman" w:cs="Arial"/>
                <w:sz w:val="20"/>
                <w:szCs w:val="20"/>
                <w:lang w:eastAsia="ru-RU"/>
              </w:rPr>
            </w:pPr>
            <w:r>
              <w:rPr>
                <w:rFonts w:eastAsia="Times New Roman" w:cs="Arial"/>
                <w:sz w:val="20"/>
                <w:szCs w:val="20"/>
                <w:lang w:eastAsia="ru-RU"/>
              </w:rPr>
              <w:t xml:space="preserve">Draft Rapid Functional Review </w:t>
            </w:r>
          </w:p>
        </w:tc>
        <w:tc>
          <w:tcPr>
            <w:tcW w:w="1161" w:type="dxa"/>
            <w:vAlign w:val="center"/>
          </w:tcPr>
          <w:p w14:paraId="6633589E" w14:textId="77777777" w:rsidR="00953833" w:rsidRDefault="00953833" w:rsidP="00912DF2">
            <w:pPr>
              <w:snapToGrid w:val="0"/>
              <w:spacing w:before="60" w:after="60" w:line="276" w:lineRule="auto"/>
              <w:jc w:val="center"/>
              <w:rPr>
                <w:rFonts w:eastAsia="Times New Roman" w:cs="Arial"/>
                <w:sz w:val="20"/>
                <w:szCs w:val="20"/>
                <w:lang w:eastAsia="ru-RU"/>
              </w:rPr>
            </w:pPr>
            <w:r>
              <w:rPr>
                <w:rFonts w:eastAsia="Times New Roman" w:cs="Arial"/>
                <w:sz w:val="20"/>
                <w:szCs w:val="20"/>
                <w:lang w:eastAsia="ru-RU"/>
              </w:rPr>
              <w:t>ARM</w:t>
            </w:r>
          </w:p>
        </w:tc>
        <w:tc>
          <w:tcPr>
            <w:tcW w:w="1336" w:type="dxa"/>
            <w:shd w:val="clear" w:color="auto" w:fill="auto"/>
            <w:vAlign w:val="center"/>
          </w:tcPr>
          <w:p w14:paraId="5ADB8F32" w14:textId="41FCA2DE" w:rsidR="00953833" w:rsidRPr="000F2F93" w:rsidRDefault="00B42FBA" w:rsidP="00912DF2">
            <w:pPr>
              <w:snapToGrid w:val="0"/>
              <w:spacing w:before="60" w:after="60" w:line="276" w:lineRule="auto"/>
              <w:jc w:val="center"/>
              <w:rPr>
                <w:rFonts w:eastAsia="Times New Roman" w:cs="Arial"/>
                <w:sz w:val="20"/>
                <w:szCs w:val="20"/>
                <w:lang w:eastAsia="ru-RU"/>
              </w:rPr>
            </w:pPr>
            <w:r>
              <w:rPr>
                <w:rFonts w:eastAsia="Times New Roman" w:cs="Arial"/>
                <w:sz w:val="20"/>
                <w:szCs w:val="20"/>
                <w:lang w:eastAsia="ru-RU"/>
              </w:rPr>
              <w:t>30</w:t>
            </w:r>
          </w:p>
        </w:tc>
        <w:tc>
          <w:tcPr>
            <w:tcW w:w="1199" w:type="dxa"/>
            <w:shd w:val="clear" w:color="auto" w:fill="auto"/>
            <w:vAlign w:val="center"/>
          </w:tcPr>
          <w:p w14:paraId="34115D49" w14:textId="24F763B9" w:rsidR="00953833" w:rsidRPr="00DF7C59" w:rsidRDefault="00060702" w:rsidP="00912DF2">
            <w:pPr>
              <w:snapToGrid w:val="0"/>
              <w:spacing w:before="60" w:after="60" w:line="276" w:lineRule="auto"/>
              <w:jc w:val="center"/>
              <w:rPr>
                <w:rFonts w:eastAsia="Times New Roman" w:cs="Arial"/>
                <w:sz w:val="20"/>
                <w:szCs w:val="20"/>
                <w:highlight w:val="yellow"/>
                <w:lang w:eastAsia="ru-RU"/>
              </w:rPr>
            </w:pPr>
            <w:r>
              <w:rPr>
                <w:rFonts w:eastAsia="Times New Roman" w:cs="Arial"/>
                <w:sz w:val="20"/>
                <w:szCs w:val="20"/>
                <w:lang w:eastAsia="ru-RU"/>
              </w:rPr>
              <w:t xml:space="preserve">By </w:t>
            </w:r>
            <w:r w:rsidR="00FE0CE6" w:rsidRPr="00060702">
              <w:rPr>
                <w:rFonts w:eastAsia="Times New Roman" w:cs="Arial"/>
                <w:sz w:val="20"/>
                <w:szCs w:val="20"/>
                <w:lang w:eastAsia="ru-RU"/>
              </w:rPr>
              <w:t xml:space="preserve">January </w:t>
            </w:r>
            <w:r w:rsidRPr="00060702">
              <w:rPr>
                <w:rFonts w:eastAsia="Times New Roman" w:cs="Arial"/>
                <w:sz w:val="20"/>
                <w:szCs w:val="20"/>
                <w:lang w:eastAsia="ru-RU"/>
              </w:rPr>
              <w:t xml:space="preserve">17, </w:t>
            </w:r>
            <w:r w:rsidR="00FE0CE6" w:rsidRPr="00060702">
              <w:rPr>
                <w:rFonts w:eastAsia="Times New Roman" w:cs="Arial"/>
                <w:sz w:val="20"/>
                <w:szCs w:val="20"/>
                <w:lang w:eastAsia="ru-RU"/>
              </w:rPr>
              <w:t>2025</w:t>
            </w:r>
          </w:p>
        </w:tc>
      </w:tr>
      <w:tr w:rsidR="00953833" w:rsidRPr="000F2F93" w14:paraId="29F174BA" w14:textId="77777777" w:rsidTr="00912DF2">
        <w:trPr>
          <w:jc w:val="center"/>
        </w:trPr>
        <w:tc>
          <w:tcPr>
            <w:tcW w:w="1339" w:type="dxa"/>
            <w:vMerge/>
            <w:shd w:val="clear" w:color="auto" w:fill="auto"/>
            <w:vAlign w:val="center"/>
          </w:tcPr>
          <w:p w14:paraId="11A41AFC" w14:textId="77777777" w:rsidR="00953833" w:rsidRPr="000F2F93" w:rsidRDefault="00953833" w:rsidP="00912DF2">
            <w:pPr>
              <w:snapToGrid w:val="0"/>
              <w:spacing w:before="60" w:after="60" w:line="276" w:lineRule="auto"/>
              <w:rPr>
                <w:rFonts w:eastAsia="Times New Roman" w:cs="Arial"/>
                <w:b/>
                <w:sz w:val="20"/>
                <w:szCs w:val="20"/>
                <w:lang w:eastAsia="ru-RU"/>
              </w:rPr>
            </w:pPr>
          </w:p>
        </w:tc>
        <w:tc>
          <w:tcPr>
            <w:tcW w:w="4032" w:type="dxa"/>
            <w:shd w:val="clear" w:color="auto" w:fill="auto"/>
            <w:vAlign w:val="center"/>
          </w:tcPr>
          <w:p w14:paraId="5FABEC18" w14:textId="77777777" w:rsidR="00953833" w:rsidRDefault="00953833" w:rsidP="00912DF2">
            <w:pPr>
              <w:snapToGrid w:val="0"/>
              <w:spacing w:before="60" w:after="60" w:line="276" w:lineRule="auto"/>
              <w:rPr>
                <w:rFonts w:eastAsia="Times New Roman" w:cs="Arial"/>
                <w:sz w:val="20"/>
                <w:szCs w:val="20"/>
                <w:lang w:eastAsia="ru-RU"/>
              </w:rPr>
            </w:pPr>
            <w:r>
              <w:rPr>
                <w:rFonts w:eastAsia="Times New Roman" w:cs="Arial"/>
                <w:sz w:val="20"/>
                <w:szCs w:val="20"/>
                <w:lang w:eastAsia="ru-RU"/>
              </w:rPr>
              <w:t>Finalised draft and final version of the Review on the basis of the comments and recommendations raised during collaboration with MTAI and GIZ</w:t>
            </w:r>
          </w:p>
        </w:tc>
        <w:tc>
          <w:tcPr>
            <w:tcW w:w="1161" w:type="dxa"/>
            <w:vAlign w:val="center"/>
          </w:tcPr>
          <w:p w14:paraId="618D378C" w14:textId="77777777" w:rsidR="00953833" w:rsidRDefault="00953833" w:rsidP="00912DF2">
            <w:pPr>
              <w:snapToGrid w:val="0"/>
              <w:spacing w:before="60" w:after="60" w:line="276" w:lineRule="auto"/>
              <w:jc w:val="center"/>
              <w:rPr>
                <w:rFonts w:eastAsia="Times New Roman" w:cs="Arial"/>
                <w:sz w:val="20"/>
                <w:szCs w:val="20"/>
                <w:lang w:eastAsia="ru-RU"/>
              </w:rPr>
            </w:pPr>
            <w:r>
              <w:rPr>
                <w:rFonts w:eastAsia="Times New Roman" w:cs="Arial"/>
                <w:sz w:val="20"/>
                <w:szCs w:val="20"/>
                <w:lang w:eastAsia="ru-RU"/>
              </w:rPr>
              <w:t>ARM and ENG</w:t>
            </w:r>
          </w:p>
        </w:tc>
        <w:tc>
          <w:tcPr>
            <w:tcW w:w="1336" w:type="dxa"/>
            <w:shd w:val="clear" w:color="auto" w:fill="auto"/>
            <w:vAlign w:val="center"/>
          </w:tcPr>
          <w:p w14:paraId="0198E61B" w14:textId="7E1D87D9" w:rsidR="00953833" w:rsidRDefault="00BB0630" w:rsidP="00912DF2">
            <w:pPr>
              <w:snapToGrid w:val="0"/>
              <w:spacing w:before="60" w:after="60" w:line="276" w:lineRule="auto"/>
              <w:jc w:val="center"/>
              <w:rPr>
                <w:rFonts w:eastAsia="Times New Roman" w:cs="Arial"/>
                <w:sz w:val="20"/>
                <w:szCs w:val="20"/>
                <w:lang w:eastAsia="ru-RU"/>
              </w:rPr>
            </w:pPr>
            <w:r>
              <w:rPr>
                <w:rFonts w:eastAsia="Times New Roman" w:cs="Arial"/>
                <w:sz w:val="20"/>
                <w:szCs w:val="20"/>
                <w:lang w:eastAsia="ru-RU"/>
              </w:rPr>
              <w:t>8</w:t>
            </w:r>
          </w:p>
        </w:tc>
        <w:tc>
          <w:tcPr>
            <w:tcW w:w="1199" w:type="dxa"/>
            <w:shd w:val="clear" w:color="auto" w:fill="auto"/>
            <w:vAlign w:val="center"/>
          </w:tcPr>
          <w:p w14:paraId="61C05107" w14:textId="6FAA7D39" w:rsidR="00953833" w:rsidRPr="00DF7C59" w:rsidRDefault="00060702" w:rsidP="00912DF2">
            <w:pPr>
              <w:snapToGrid w:val="0"/>
              <w:spacing w:before="60" w:after="60" w:line="276" w:lineRule="auto"/>
              <w:jc w:val="center"/>
              <w:rPr>
                <w:rFonts w:eastAsia="Times New Roman" w:cs="Arial"/>
                <w:sz w:val="20"/>
                <w:szCs w:val="20"/>
                <w:highlight w:val="yellow"/>
                <w:lang w:eastAsia="ru-RU"/>
              </w:rPr>
            </w:pPr>
            <w:r>
              <w:rPr>
                <w:rFonts w:eastAsia="Times New Roman" w:cs="Arial"/>
                <w:sz w:val="20"/>
                <w:szCs w:val="20"/>
                <w:lang w:eastAsia="ru-RU"/>
              </w:rPr>
              <w:t xml:space="preserve">By </w:t>
            </w:r>
            <w:r w:rsidR="009E60FB" w:rsidRPr="00060702">
              <w:rPr>
                <w:rFonts w:eastAsia="Times New Roman" w:cs="Arial"/>
                <w:sz w:val="20"/>
                <w:szCs w:val="20"/>
                <w:lang w:eastAsia="ru-RU"/>
              </w:rPr>
              <w:t>January</w:t>
            </w:r>
            <w:r w:rsidRPr="00060702">
              <w:rPr>
                <w:rFonts w:eastAsia="Times New Roman" w:cs="Arial"/>
                <w:sz w:val="20"/>
                <w:szCs w:val="20"/>
                <w:lang w:eastAsia="ru-RU"/>
              </w:rPr>
              <w:t xml:space="preserve"> 31,</w:t>
            </w:r>
            <w:r w:rsidR="009E60FB" w:rsidRPr="00060702">
              <w:rPr>
                <w:rFonts w:eastAsia="Times New Roman" w:cs="Arial"/>
                <w:sz w:val="20"/>
                <w:szCs w:val="20"/>
                <w:lang w:eastAsia="ru-RU"/>
              </w:rPr>
              <w:t xml:space="preserve"> 2025</w:t>
            </w:r>
          </w:p>
        </w:tc>
      </w:tr>
      <w:tr w:rsidR="00953833" w:rsidRPr="000F2F93" w14:paraId="7A3DCE3B" w14:textId="77777777" w:rsidTr="00912DF2">
        <w:trPr>
          <w:jc w:val="center"/>
        </w:trPr>
        <w:tc>
          <w:tcPr>
            <w:tcW w:w="1339" w:type="dxa"/>
            <w:shd w:val="clear" w:color="auto" w:fill="auto"/>
            <w:vAlign w:val="center"/>
          </w:tcPr>
          <w:p w14:paraId="2F17DA30" w14:textId="77777777" w:rsidR="00953833" w:rsidRPr="000F2F93" w:rsidRDefault="00953833" w:rsidP="00912DF2">
            <w:pPr>
              <w:snapToGrid w:val="0"/>
              <w:spacing w:before="60" w:after="60" w:line="276" w:lineRule="auto"/>
              <w:rPr>
                <w:rFonts w:eastAsia="Times New Roman" w:cs="Arial"/>
                <w:b/>
                <w:sz w:val="20"/>
                <w:szCs w:val="20"/>
                <w:lang w:eastAsia="ru-RU"/>
              </w:rPr>
            </w:pPr>
            <w:r>
              <w:rPr>
                <w:rFonts w:eastAsia="Times New Roman" w:cs="Arial"/>
                <w:b/>
                <w:sz w:val="20"/>
                <w:szCs w:val="20"/>
                <w:lang w:eastAsia="ru-RU"/>
              </w:rPr>
              <w:t>Task 3</w:t>
            </w:r>
          </w:p>
        </w:tc>
        <w:tc>
          <w:tcPr>
            <w:tcW w:w="4032" w:type="dxa"/>
            <w:shd w:val="clear" w:color="auto" w:fill="auto"/>
            <w:vAlign w:val="center"/>
          </w:tcPr>
          <w:p w14:paraId="411A3C61" w14:textId="77777777" w:rsidR="00953833" w:rsidRDefault="00953833" w:rsidP="00912DF2">
            <w:pPr>
              <w:snapToGrid w:val="0"/>
              <w:spacing w:before="60" w:after="60" w:line="276" w:lineRule="auto"/>
              <w:rPr>
                <w:rFonts w:eastAsia="Times New Roman" w:cs="Arial"/>
                <w:sz w:val="20"/>
                <w:szCs w:val="20"/>
                <w:lang w:eastAsia="ru-RU"/>
              </w:rPr>
            </w:pPr>
            <w:r>
              <w:rPr>
                <w:rFonts w:eastAsia="Times New Roman" w:cs="Arial"/>
                <w:sz w:val="20"/>
                <w:szCs w:val="20"/>
                <w:lang w:eastAsia="ru-RU"/>
              </w:rPr>
              <w:t>Presentation of the results to the MTAI and the final report to GIZ</w:t>
            </w:r>
          </w:p>
        </w:tc>
        <w:tc>
          <w:tcPr>
            <w:tcW w:w="1161" w:type="dxa"/>
            <w:vAlign w:val="center"/>
          </w:tcPr>
          <w:p w14:paraId="268B2005" w14:textId="77777777" w:rsidR="00953833" w:rsidRDefault="00953833" w:rsidP="00912DF2">
            <w:pPr>
              <w:snapToGrid w:val="0"/>
              <w:spacing w:before="60" w:after="60" w:line="276" w:lineRule="auto"/>
              <w:jc w:val="center"/>
              <w:rPr>
                <w:rFonts w:eastAsia="Times New Roman" w:cs="Arial"/>
                <w:sz w:val="20"/>
                <w:szCs w:val="20"/>
                <w:lang w:eastAsia="ru-RU"/>
              </w:rPr>
            </w:pPr>
            <w:r>
              <w:rPr>
                <w:rFonts w:eastAsia="Times New Roman" w:cs="Arial"/>
                <w:sz w:val="20"/>
                <w:szCs w:val="20"/>
                <w:lang w:eastAsia="ru-RU"/>
              </w:rPr>
              <w:t>ARM</w:t>
            </w:r>
          </w:p>
        </w:tc>
        <w:tc>
          <w:tcPr>
            <w:tcW w:w="1336" w:type="dxa"/>
            <w:shd w:val="clear" w:color="auto" w:fill="auto"/>
            <w:vAlign w:val="center"/>
          </w:tcPr>
          <w:p w14:paraId="42581DEF" w14:textId="77777777" w:rsidR="00953833" w:rsidRDefault="00953833" w:rsidP="00912DF2">
            <w:pPr>
              <w:snapToGrid w:val="0"/>
              <w:spacing w:before="60" w:after="60" w:line="276" w:lineRule="auto"/>
              <w:jc w:val="center"/>
              <w:rPr>
                <w:rFonts w:eastAsia="Times New Roman" w:cs="Arial"/>
                <w:sz w:val="20"/>
                <w:szCs w:val="20"/>
                <w:lang w:eastAsia="ru-RU"/>
              </w:rPr>
            </w:pPr>
            <w:r>
              <w:rPr>
                <w:rFonts w:eastAsia="Times New Roman" w:cs="Arial"/>
                <w:sz w:val="20"/>
                <w:szCs w:val="20"/>
                <w:lang w:eastAsia="ru-RU"/>
              </w:rPr>
              <w:t>2</w:t>
            </w:r>
          </w:p>
        </w:tc>
        <w:tc>
          <w:tcPr>
            <w:tcW w:w="1199" w:type="dxa"/>
            <w:shd w:val="clear" w:color="auto" w:fill="auto"/>
            <w:vAlign w:val="center"/>
          </w:tcPr>
          <w:p w14:paraId="4981238E" w14:textId="5C95FB85" w:rsidR="00953833" w:rsidRPr="00DF7C59" w:rsidRDefault="00060702" w:rsidP="00912DF2">
            <w:pPr>
              <w:snapToGrid w:val="0"/>
              <w:spacing w:before="60" w:after="60" w:line="276" w:lineRule="auto"/>
              <w:jc w:val="center"/>
              <w:rPr>
                <w:rFonts w:eastAsia="Times New Roman" w:cs="Arial"/>
                <w:sz w:val="20"/>
                <w:szCs w:val="20"/>
                <w:highlight w:val="yellow"/>
                <w:lang w:eastAsia="ru-RU"/>
              </w:rPr>
            </w:pPr>
            <w:r>
              <w:rPr>
                <w:rFonts w:eastAsia="Times New Roman" w:cs="Arial"/>
                <w:sz w:val="20"/>
                <w:szCs w:val="20"/>
                <w:lang w:eastAsia="ru-RU"/>
              </w:rPr>
              <w:t xml:space="preserve">By </w:t>
            </w:r>
            <w:r w:rsidR="009E60FB" w:rsidRPr="00060702">
              <w:rPr>
                <w:rFonts w:eastAsia="Times New Roman" w:cs="Arial"/>
                <w:sz w:val="20"/>
                <w:szCs w:val="20"/>
                <w:lang w:eastAsia="ru-RU"/>
              </w:rPr>
              <w:t xml:space="preserve">February </w:t>
            </w:r>
            <w:r w:rsidRPr="00060702">
              <w:rPr>
                <w:rFonts w:eastAsia="Times New Roman" w:cs="Arial"/>
                <w:sz w:val="20"/>
                <w:szCs w:val="20"/>
                <w:lang w:eastAsia="ru-RU"/>
              </w:rPr>
              <w:t xml:space="preserve">28, </w:t>
            </w:r>
            <w:r w:rsidR="009E60FB" w:rsidRPr="00060702">
              <w:rPr>
                <w:rFonts w:eastAsia="Times New Roman" w:cs="Arial"/>
                <w:sz w:val="20"/>
                <w:szCs w:val="20"/>
                <w:lang w:eastAsia="ru-RU"/>
              </w:rPr>
              <w:t>2025</w:t>
            </w:r>
          </w:p>
        </w:tc>
      </w:tr>
      <w:tr w:rsidR="00953833" w:rsidRPr="000F2F93" w14:paraId="4AEE32C9" w14:textId="77777777" w:rsidTr="00912DF2">
        <w:trPr>
          <w:jc w:val="center"/>
        </w:trPr>
        <w:tc>
          <w:tcPr>
            <w:tcW w:w="5371" w:type="dxa"/>
            <w:gridSpan w:val="2"/>
            <w:shd w:val="clear" w:color="auto" w:fill="D9D9D9"/>
          </w:tcPr>
          <w:p w14:paraId="301DB0DC" w14:textId="77777777" w:rsidR="00953833" w:rsidRPr="000F2F93" w:rsidRDefault="00953833" w:rsidP="00912DF2">
            <w:pPr>
              <w:snapToGrid w:val="0"/>
              <w:spacing w:before="60" w:after="60" w:line="276" w:lineRule="auto"/>
              <w:rPr>
                <w:rFonts w:eastAsia="Times New Roman" w:cs="Arial"/>
                <w:sz w:val="20"/>
                <w:szCs w:val="20"/>
                <w:lang w:eastAsia="ru-RU"/>
              </w:rPr>
            </w:pPr>
            <w:r w:rsidRPr="000F2F93">
              <w:rPr>
                <w:rFonts w:eastAsia="Times New Roman" w:cs="Arial"/>
                <w:b/>
                <w:sz w:val="20"/>
                <w:szCs w:val="20"/>
                <w:lang w:eastAsia="ru-RU"/>
              </w:rPr>
              <w:t>Total</w:t>
            </w:r>
          </w:p>
        </w:tc>
        <w:tc>
          <w:tcPr>
            <w:tcW w:w="1161" w:type="dxa"/>
            <w:shd w:val="clear" w:color="auto" w:fill="D9D9D9"/>
            <w:vAlign w:val="center"/>
          </w:tcPr>
          <w:p w14:paraId="7E16B279" w14:textId="77777777" w:rsidR="00953833" w:rsidRPr="000F2F93" w:rsidRDefault="00953833" w:rsidP="00912DF2">
            <w:pPr>
              <w:spacing w:before="60" w:after="60" w:line="276" w:lineRule="auto"/>
              <w:jc w:val="center"/>
              <w:rPr>
                <w:rFonts w:eastAsia="Times New Roman" w:cs="Arial"/>
                <w:b/>
                <w:bCs/>
                <w:sz w:val="20"/>
                <w:szCs w:val="20"/>
                <w:lang w:eastAsia="ru-RU"/>
              </w:rPr>
            </w:pPr>
          </w:p>
        </w:tc>
        <w:tc>
          <w:tcPr>
            <w:tcW w:w="1336" w:type="dxa"/>
            <w:shd w:val="clear" w:color="auto" w:fill="D9D9D9"/>
            <w:vAlign w:val="center"/>
          </w:tcPr>
          <w:p w14:paraId="47C9C1E5" w14:textId="0E5C6378" w:rsidR="00953833" w:rsidRPr="000F2F93" w:rsidRDefault="00953833" w:rsidP="00912DF2">
            <w:pPr>
              <w:spacing w:before="60" w:after="60" w:line="276" w:lineRule="auto"/>
              <w:jc w:val="center"/>
              <w:rPr>
                <w:rFonts w:eastAsia="Times New Roman" w:cs="Arial"/>
                <w:sz w:val="20"/>
                <w:szCs w:val="20"/>
                <w:lang w:eastAsia="ru-RU"/>
              </w:rPr>
            </w:pPr>
            <w:r w:rsidRPr="000F2F93">
              <w:rPr>
                <w:rFonts w:eastAsia="Times New Roman" w:cs="Arial"/>
                <w:b/>
                <w:bCs/>
                <w:sz w:val="20"/>
                <w:szCs w:val="20"/>
                <w:lang w:eastAsia="ru-RU"/>
              </w:rPr>
              <w:t xml:space="preserve"> up to </w:t>
            </w:r>
            <w:r w:rsidR="00B61A96">
              <w:rPr>
                <w:rFonts w:eastAsia="Times New Roman" w:cs="Arial"/>
                <w:b/>
                <w:bCs/>
                <w:sz w:val="20"/>
                <w:szCs w:val="20"/>
                <w:lang w:eastAsia="ru-RU"/>
              </w:rPr>
              <w:t>59</w:t>
            </w:r>
          </w:p>
        </w:tc>
        <w:tc>
          <w:tcPr>
            <w:tcW w:w="1199" w:type="dxa"/>
            <w:shd w:val="clear" w:color="auto" w:fill="D9D9D9"/>
            <w:vAlign w:val="center"/>
          </w:tcPr>
          <w:p w14:paraId="22204470" w14:textId="77777777" w:rsidR="00953833" w:rsidRPr="000F2F93" w:rsidRDefault="00953833" w:rsidP="00912DF2">
            <w:pPr>
              <w:snapToGrid w:val="0"/>
              <w:spacing w:before="60" w:after="60" w:line="276" w:lineRule="auto"/>
              <w:jc w:val="center"/>
              <w:rPr>
                <w:rFonts w:eastAsia="Times New Roman" w:cs="Arial"/>
                <w:sz w:val="20"/>
                <w:szCs w:val="20"/>
                <w:lang w:eastAsia="ru-RU"/>
              </w:rPr>
            </w:pPr>
          </w:p>
        </w:tc>
      </w:tr>
    </w:tbl>
    <w:p w14:paraId="2F7A9247" w14:textId="77777777" w:rsidR="00CA53E0" w:rsidRDefault="006D21F0" w:rsidP="00CA53E0">
      <w:pPr>
        <w:spacing w:before="240"/>
      </w:pPr>
      <w:bookmarkStart w:id="20" w:name="_Ref508122887"/>
      <w:bookmarkStart w:id="21" w:name="_Ref508122898"/>
      <w:bookmarkStart w:id="22" w:name="_Ref508122909"/>
      <w:bookmarkStart w:id="23" w:name="_Toc508619997"/>
      <w:bookmarkStart w:id="24" w:name="_Ref515637130"/>
      <w:r>
        <w:t xml:space="preserve">Period of assignment: from </w:t>
      </w:r>
      <w:r w:rsidR="005F2EAB">
        <w:t>September 2024</w:t>
      </w:r>
      <w:r>
        <w:t xml:space="preserve"> until </w:t>
      </w:r>
      <w:r w:rsidR="005F2EAB">
        <w:t>February 2025</w:t>
      </w:r>
      <w:r>
        <w:t>.</w:t>
      </w:r>
    </w:p>
    <w:p w14:paraId="4BA95426" w14:textId="1EDA1594" w:rsidR="00CA53E0" w:rsidRPr="009317D9" w:rsidRDefault="00CA53E0" w:rsidP="00CA53E0">
      <w:r w:rsidRPr="009317D9">
        <w:t>The Contractor is obliged to perform the assignment based on this ToR while ensuring close contact and cooperation with GIZ throughout the implementation of the assignment. The Contractor is further required to submit all the deliverables to GIZ. Approval from GIZ is mandatory at each stage before moving on to the next level.</w:t>
      </w:r>
    </w:p>
    <w:p w14:paraId="78287A3A" w14:textId="43A6503B" w:rsidR="006D21F0" w:rsidRDefault="00CA53E0" w:rsidP="00CA53E0">
      <w:r w:rsidRPr="009317D9">
        <w:t xml:space="preserve">Please note that GIZ security regulations, concerning operations in some areas of Tavush and Gegharkunik, Vayots Dzor, and Syunik provinces, are based on the travel warning issued by the German Federal Foreign Office and will be provided upon request. </w:t>
      </w:r>
    </w:p>
    <w:p w14:paraId="6521146B" w14:textId="77777777" w:rsidR="00ED7487" w:rsidRPr="001261F8" w:rsidRDefault="00A37364" w:rsidP="00FD2778">
      <w:pPr>
        <w:pStyle w:val="Heading1"/>
        <w:numPr>
          <w:ilvl w:val="0"/>
          <w:numId w:val="1"/>
        </w:numPr>
        <w:rPr>
          <w:rStyle w:val="Heading1Char"/>
          <w:b/>
          <w:bCs/>
        </w:rPr>
      </w:pPr>
      <w:bookmarkStart w:id="25" w:name="_Toc119493823"/>
      <w:bookmarkStart w:id="26" w:name="_Ref516123857"/>
      <w:bookmarkStart w:id="27" w:name="_Toc173323203"/>
      <w:r>
        <w:rPr>
          <w:rStyle w:val="Heading1Char"/>
          <w:b/>
        </w:rPr>
        <w:lastRenderedPageBreak/>
        <w:t>Concept</w:t>
      </w:r>
      <w:bookmarkEnd w:id="20"/>
      <w:bookmarkEnd w:id="21"/>
      <w:bookmarkEnd w:id="22"/>
      <w:bookmarkEnd w:id="23"/>
      <w:bookmarkEnd w:id="24"/>
      <w:bookmarkEnd w:id="25"/>
      <w:bookmarkEnd w:id="26"/>
      <w:bookmarkEnd w:id="27"/>
    </w:p>
    <w:p w14:paraId="411933AC" w14:textId="74F72398" w:rsidR="00A70DFB" w:rsidRPr="00656B38" w:rsidRDefault="006C54C6" w:rsidP="007B7F40">
      <w:r w:rsidRPr="00656B38">
        <w:t xml:space="preserve">In the </w:t>
      </w:r>
      <w:r w:rsidR="00981175" w:rsidRPr="00656B38">
        <w:t>tender</w:t>
      </w:r>
      <w:r w:rsidRPr="00656B38">
        <w:t xml:space="preserve">, the </w:t>
      </w:r>
      <w:r w:rsidR="00755149" w:rsidRPr="00656B38">
        <w:t>tenderer</w:t>
      </w:r>
      <w:r w:rsidRPr="00656B38">
        <w:t xml:space="preserve"> is required to show </w:t>
      </w:r>
      <w:r w:rsidRPr="00656B38">
        <w:rPr>
          <w:i/>
        </w:rPr>
        <w:t>how</w:t>
      </w:r>
      <w:r w:rsidRPr="00656B38">
        <w:t xml:space="preserve"> the objectives defined in Chapter </w:t>
      </w:r>
      <w:r w:rsidR="002A42EC" w:rsidRPr="00656B38">
        <w:fldChar w:fldCharType="begin"/>
      </w:r>
      <w:r w:rsidR="002A42EC" w:rsidRPr="00656B38">
        <w:instrText xml:space="preserve"> REF _Ref508121704 \r \h </w:instrText>
      </w:r>
      <w:r w:rsidR="002174DD" w:rsidRPr="00656B38">
        <w:instrText xml:space="preserve"> \* MERGEFORMAT </w:instrText>
      </w:r>
      <w:r w:rsidR="002A42EC" w:rsidRPr="00656B38">
        <w:fldChar w:fldCharType="separate"/>
      </w:r>
      <w:r w:rsidR="006319B9" w:rsidRPr="00656B38">
        <w:t>2</w:t>
      </w:r>
      <w:r w:rsidR="002A42EC" w:rsidRPr="00656B38">
        <w:fldChar w:fldCharType="end"/>
      </w:r>
      <w:r w:rsidRPr="00656B38">
        <w:t xml:space="preserve"> (Tasks to be performed) are to be achieved, if applicable under consideration of further method-related requirements (technical-methodological concept). In addition, the </w:t>
      </w:r>
      <w:r w:rsidR="00755149" w:rsidRPr="00656B38">
        <w:t>tenderer</w:t>
      </w:r>
      <w:r w:rsidRPr="00656B38">
        <w:t xml:space="preserve"> must describe the project management system for service provision.</w:t>
      </w:r>
    </w:p>
    <w:p w14:paraId="7EE02F6A" w14:textId="77777777" w:rsidR="0A644583" w:rsidRPr="005C7E67" w:rsidRDefault="00B40BC7" w:rsidP="0A644583">
      <w:r w:rsidRPr="00656B38">
        <w:t>Note: The numbers in parentheses correspond to the lines of the technical assessment grid.</w:t>
      </w:r>
    </w:p>
    <w:p w14:paraId="6C7D6062" w14:textId="77777777" w:rsidR="002A42EC" w:rsidRPr="00656B38" w:rsidRDefault="000143A9" w:rsidP="006D21F0">
      <w:pPr>
        <w:pStyle w:val="Heading2"/>
      </w:pPr>
      <w:bookmarkStart w:id="28" w:name="_Toc119493824"/>
      <w:bookmarkStart w:id="29" w:name="_Toc173323204"/>
      <w:r w:rsidRPr="00656B38">
        <w:t>Technical-methodological concept</w:t>
      </w:r>
      <w:bookmarkEnd w:id="28"/>
      <w:bookmarkEnd w:id="29"/>
    </w:p>
    <w:p w14:paraId="20E76DF0" w14:textId="72139990" w:rsidR="002A42EC" w:rsidRPr="001261F8" w:rsidRDefault="00220FD6" w:rsidP="006C54C6">
      <w:r w:rsidRPr="00656B38">
        <w:rPr>
          <w:b/>
        </w:rPr>
        <w:t>Strategy (1.1)</w:t>
      </w:r>
      <w:r w:rsidRPr="00656B38">
        <w:t xml:space="preserve">: The </w:t>
      </w:r>
      <w:r w:rsidR="00755149" w:rsidRPr="00656B38">
        <w:t>tenderer</w:t>
      </w:r>
      <w:r w:rsidRPr="00656B38">
        <w:t xml:space="preserve"> is required to consider the tasks to be performed with reference to the objectives of the services put out to tender (see Chapter </w:t>
      </w:r>
      <w:r w:rsidR="002A42EC" w:rsidRPr="00656B38">
        <w:fldChar w:fldCharType="begin"/>
      </w:r>
      <w:r w:rsidR="002A42EC" w:rsidRPr="00656B38">
        <w:instrText xml:space="preserve"> REF _Ref508121651 \r \h </w:instrText>
      </w:r>
      <w:r w:rsidR="002174DD" w:rsidRPr="00656B38">
        <w:instrText xml:space="preserve"> \* MERGEFORMAT </w:instrText>
      </w:r>
      <w:r w:rsidR="002A42EC" w:rsidRPr="00656B38">
        <w:fldChar w:fldCharType="separate"/>
      </w:r>
      <w:r w:rsidR="006319B9" w:rsidRPr="00656B38">
        <w:t>1</w:t>
      </w:r>
      <w:r w:rsidR="002A42EC" w:rsidRPr="00656B38">
        <w:fldChar w:fldCharType="end"/>
      </w:r>
      <w:r w:rsidRPr="00656B38">
        <w:t xml:space="preserve"> Context) (1.1.1). Following this, the </w:t>
      </w:r>
      <w:r w:rsidR="00755149" w:rsidRPr="00656B38">
        <w:t>tenderer</w:t>
      </w:r>
      <w:r w:rsidRPr="00656B38">
        <w:t xml:space="preserve"> presents and justifies the </w:t>
      </w:r>
      <w:r w:rsidR="00092A35" w:rsidRPr="00656B38">
        <w:t xml:space="preserve">explicit </w:t>
      </w:r>
      <w:r w:rsidRPr="00656B38">
        <w:t xml:space="preserve">strategy with which it intends to provide the services for which it is responsible (see Chapter </w:t>
      </w:r>
      <w:r w:rsidR="00BB10CE" w:rsidRPr="00656B38">
        <w:fldChar w:fldCharType="begin"/>
      </w:r>
      <w:r w:rsidR="00BB10CE" w:rsidRPr="00656B38">
        <w:instrText xml:space="preserve"> REF _Ref508121798 \r \h </w:instrText>
      </w:r>
      <w:r w:rsidR="002174DD" w:rsidRPr="00656B38">
        <w:instrText xml:space="preserve"> \* MERGEFORMAT </w:instrText>
      </w:r>
      <w:r w:rsidR="00BB10CE" w:rsidRPr="00656B38">
        <w:fldChar w:fldCharType="separate"/>
      </w:r>
      <w:r w:rsidR="006319B9" w:rsidRPr="00656B38">
        <w:t>2</w:t>
      </w:r>
      <w:r w:rsidR="00BB10CE" w:rsidRPr="00656B38">
        <w:fldChar w:fldCharType="end"/>
      </w:r>
      <w:r w:rsidRPr="00656B38">
        <w:t xml:space="preserve"> Tasks to be performed) (1.1.2).</w:t>
      </w:r>
    </w:p>
    <w:p w14:paraId="284CA54C" w14:textId="258F5BE7" w:rsidR="00325404" w:rsidRDefault="0029394B" w:rsidP="00153730">
      <w:r w:rsidRPr="00EA3DDA">
        <w:rPr>
          <w:b/>
          <w:bCs/>
        </w:rPr>
        <w:t>Processes (1.4):</w:t>
      </w:r>
      <w:r>
        <w:t xml:space="preserve"> </w:t>
      </w:r>
      <w:r w:rsidR="007566DA" w:rsidRPr="00EA3DDA">
        <w:t xml:space="preserve">The </w:t>
      </w:r>
      <w:r w:rsidR="00755149" w:rsidRPr="00EA3DDA">
        <w:t>tenderer</w:t>
      </w:r>
      <w:r w:rsidR="007566DA" w:rsidRPr="00EA3DDA">
        <w:t xml:space="preserve"> is required to describe the key processes for the services for which it is responsible and create an operational plan or schedule (1.4.1) that describes how the services according to Chapter </w:t>
      </w:r>
      <w:r w:rsidR="002A42EC" w:rsidRPr="00EA3DDA">
        <w:fldChar w:fldCharType="begin"/>
      </w:r>
      <w:r w:rsidR="002A42EC" w:rsidRPr="00EA3DDA">
        <w:instrText xml:space="preserve"> REF _Ref508121704 \r \h </w:instrText>
      </w:r>
      <w:r w:rsidR="00EA3DDA" w:rsidRPr="00EA3DDA">
        <w:instrText xml:space="preserve"> \* MERGEFORMAT </w:instrText>
      </w:r>
      <w:r w:rsidR="002A42EC" w:rsidRPr="00EA3DDA">
        <w:fldChar w:fldCharType="separate"/>
      </w:r>
      <w:r w:rsidR="006319B9" w:rsidRPr="00EA3DDA">
        <w:t>2</w:t>
      </w:r>
      <w:r w:rsidR="002A42EC" w:rsidRPr="00EA3DDA">
        <w:fldChar w:fldCharType="end"/>
      </w:r>
      <w:r w:rsidR="007566DA" w:rsidRPr="00EA3DDA">
        <w:t xml:space="preserve"> (Tasks to be performed by the contractor) are to be provided.</w:t>
      </w:r>
    </w:p>
    <w:p w14:paraId="14164812" w14:textId="77777777" w:rsidR="00312415" w:rsidRDefault="00325404" w:rsidP="00312415">
      <w:pPr>
        <w:pStyle w:val="Heading1"/>
        <w:numPr>
          <w:ilvl w:val="0"/>
          <w:numId w:val="1"/>
        </w:numPr>
      </w:pPr>
      <w:bookmarkStart w:id="30" w:name="_Toc119492755"/>
      <w:bookmarkStart w:id="31" w:name="_Toc119492800"/>
      <w:bookmarkStart w:id="32" w:name="_Toc119492849"/>
      <w:bookmarkStart w:id="33" w:name="_Toc119492965"/>
      <w:bookmarkStart w:id="34" w:name="_Toc119493053"/>
      <w:bookmarkStart w:id="35" w:name="_Toc119493203"/>
      <w:bookmarkStart w:id="36" w:name="_Toc119493827"/>
      <w:bookmarkStart w:id="37" w:name="_Ref508122918"/>
      <w:bookmarkStart w:id="38" w:name="_Ref508122930"/>
      <w:bookmarkStart w:id="39" w:name="_Toc508620005"/>
      <w:bookmarkStart w:id="40" w:name="_Toc119493828"/>
      <w:bookmarkStart w:id="41" w:name="_Toc173323205"/>
      <w:bookmarkEnd w:id="30"/>
      <w:bookmarkEnd w:id="31"/>
      <w:bookmarkEnd w:id="32"/>
      <w:bookmarkEnd w:id="33"/>
      <w:bookmarkEnd w:id="34"/>
      <w:bookmarkEnd w:id="35"/>
      <w:bookmarkEnd w:id="36"/>
      <w:r>
        <w:t>Personnel concept</w:t>
      </w:r>
      <w:bookmarkEnd w:id="37"/>
      <w:bookmarkEnd w:id="38"/>
      <w:bookmarkEnd w:id="39"/>
      <w:bookmarkEnd w:id="40"/>
      <w:bookmarkEnd w:id="41"/>
    </w:p>
    <w:p w14:paraId="24F8615F" w14:textId="697D9C6C" w:rsidR="00325404" w:rsidRPr="001261F8" w:rsidRDefault="00325404" w:rsidP="00325404">
      <w:r>
        <w:t xml:space="preserve">The </w:t>
      </w:r>
      <w:r w:rsidR="00755149">
        <w:t>tenderer</w:t>
      </w:r>
      <w:r>
        <w:t xml:space="preserve"> is required to provide personnel who are suited to filling the positions described, on the basis of their </w:t>
      </w:r>
      <w:r w:rsidRPr="004A75FD">
        <w:t xml:space="preserve">CVs (see Chapter </w:t>
      </w:r>
      <w:r w:rsidR="008B1B3B">
        <w:t>6</w:t>
      </w:r>
      <w:r w:rsidRPr="004A75FD">
        <w:t>), the</w:t>
      </w:r>
      <w:r>
        <w:t xml:space="preserve"> range of tasks involved and the required qualifications.</w:t>
      </w:r>
    </w:p>
    <w:p w14:paraId="0093CF1C" w14:textId="77777777" w:rsidR="00325404" w:rsidRPr="001261F8" w:rsidRDefault="00325404" w:rsidP="00325404">
      <w:r>
        <w:t>The below specified qualifications represent the requirements to reach the maximum number of points</w:t>
      </w:r>
      <w:r w:rsidR="00847139">
        <w:t xml:space="preserve"> in the technical assessment</w:t>
      </w:r>
      <w:r>
        <w:t>.</w:t>
      </w:r>
    </w:p>
    <w:p w14:paraId="74E5A3F8" w14:textId="770CEA9E" w:rsidR="00325404" w:rsidRDefault="009247ED" w:rsidP="00FF4353">
      <w:pPr>
        <w:pStyle w:val="Heading2"/>
      </w:pPr>
      <w:bookmarkStart w:id="42" w:name="_Toc173323206"/>
      <w:r>
        <w:t>Expert</w:t>
      </w:r>
      <w:bookmarkEnd w:id="42"/>
    </w:p>
    <w:p w14:paraId="28D05CA7" w14:textId="3D427318" w:rsidR="00325404" w:rsidRPr="001261F8" w:rsidRDefault="00325404" w:rsidP="00AD4D4A">
      <w:pPr>
        <w:pStyle w:val="ZwischenberschriftohneAbstand"/>
        <w:rPr>
          <w:u w:val="single"/>
        </w:rPr>
      </w:pPr>
      <w:r>
        <w:rPr>
          <w:u w:val="single"/>
        </w:rPr>
        <w:t xml:space="preserve">Tasks of </w:t>
      </w:r>
      <w:r w:rsidR="00060702">
        <w:rPr>
          <w:u w:val="single"/>
        </w:rPr>
        <w:t>key e</w:t>
      </w:r>
      <w:r w:rsidR="009247ED">
        <w:rPr>
          <w:u w:val="single"/>
        </w:rPr>
        <w:t>xpert</w:t>
      </w:r>
    </w:p>
    <w:p w14:paraId="5C7F3A5F" w14:textId="0195020E" w:rsidR="00325404" w:rsidRDefault="00325404" w:rsidP="001E144E">
      <w:pPr>
        <w:pStyle w:val="ListParagraph"/>
        <w:numPr>
          <w:ilvl w:val="0"/>
          <w:numId w:val="36"/>
        </w:numPr>
        <w:ind w:left="357" w:hanging="357"/>
      </w:pPr>
      <w:r>
        <w:t xml:space="preserve">Overall responsibility </w:t>
      </w:r>
      <w:r w:rsidR="00060702">
        <w:t>for implementation of all tasks as outlined in these ToR</w:t>
      </w:r>
      <w:r>
        <w:t xml:space="preserve"> (</w:t>
      </w:r>
      <w:r w:rsidR="00060702">
        <w:t xml:space="preserve">including ensuring </w:t>
      </w:r>
      <w:r>
        <w:t xml:space="preserve">quality and </w:t>
      </w:r>
      <w:r w:rsidR="00060702">
        <w:t xml:space="preserve">keeping </w:t>
      </w:r>
      <w:r>
        <w:t>deadlines)</w:t>
      </w:r>
    </w:p>
    <w:p w14:paraId="2F5B13F4" w14:textId="7CD4F345" w:rsidR="003D022F" w:rsidRDefault="003D022F" w:rsidP="001E144E">
      <w:pPr>
        <w:pStyle w:val="ListParagraph"/>
        <w:numPr>
          <w:ilvl w:val="0"/>
          <w:numId w:val="36"/>
        </w:numPr>
        <w:ind w:left="357" w:hanging="357"/>
      </w:pPr>
      <w:r>
        <w:t xml:space="preserve">Collection of </w:t>
      </w:r>
      <w:r w:rsidR="00036D68">
        <w:t>data and information pertinent to the assignment followed by their analysis as necessary</w:t>
      </w:r>
    </w:p>
    <w:p w14:paraId="10859B6D" w14:textId="504A0229" w:rsidR="00716AA5" w:rsidRDefault="00716AA5" w:rsidP="001E144E">
      <w:pPr>
        <w:pStyle w:val="ListParagraph"/>
        <w:numPr>
          <w:ilvl w:val="0"/>
          <w:numId w:val="36"/>
        </w:numPr>
        <w:ind w:left="357" w:hanging="357"/>
      </w:pPr>
      <w:r>
        <w:t xml:space="preserve">Organisation and holding interviews with relevant stakeholders, </w:t>
      </w:r>
      <w:r w:rsidR="003E1B43">
        <w:t>primarily MTAI, selected LSGs (as needed)</w:t>
      </w:r>
    </w:p>
    <w:p w14:paraId="17EF4833" w14:textId="4241CE77" w:rsidR="00A35B94" w:rsidRDefault="00A35B94" w:rsidP="001E144E">
      <w:pPr>
        <w:pStyle w:val="ListParagraph"/>
        <w:numPr>
          <w:ilvl w:val="0"/>
          <w:numId w:val="36"/>
        </w:numPr>
        <w:ind w:left="357" w:hanging="357"/>
      </w:pPr>
      <w:r>
        <w:t>Coordinating and ensuring communication with GIZ, partners and others involved in the project</w:t>
      </w:r>
    </w:p>
    <w:p w14:paraId="719A7076" w14:textId="701CE10C" w:rsidR="0055666B" w:rsidRPr="001261F8" w:rsidRDefault="0055666B" w:rsidP="001E144E">
      <w:pPr>
        <w:pStyle w:val="ListParagraph"/>
        <w:numPr>
          <w:ilvl w:val="0"/>
          <w:numId w:val="36"/>
        </w:numPr>
        <w:ind w:left="357" w:hanging="357"/>
      </w:pPr>
      <w:r>
        <w:t>Presentation of the results of the assignment to the MTAI and GIZ</w:t>
      </w:r>
    </w:p>
    <w:p w14:paraId="21717912" w14:textId="77777777" w:rsidR="00325404" w:rsidRPr="001261F8" w:rsidRDefault="00325404" w:rsidP="001E144E">
      <w:pPr>
        <w:pStyle w:val="ListParagraph"/>
        <w:numPr>
          <w:ilvl w:val="0"/>
          <w:numId w:val="36"/>
        </w:numPr>
        <w:ind w:left="357" w:hanging="357"/>
        <w:rPr>
          <w:rStyle w:val="ZulschenderTextZchn"/>
          <w:i w:val="0"/>
          <w:color w:val="auto"/>
        </w:rPr>
      </w:pPr>
      <w:r>
        <w:t>Regular reporting in accordance with deadlines</w:t>
      </w:r>
    </w:p>
    <w:p w14:paraId="193E7B89" w14:textId="67E02AF0" w:rsidR="00CD73DA" w:rsidRPr="001261F8" w:rsidRDefault="00CD73DA" w:rsidP="00D550FC">
      <w:pPr>
        <w:pStyle w:val="ZwischenberschriftohneAbstand"/>
        <w:rPr>
          <w:u w:val="single"/>
        </w:rPr>
      </w:pPr>
      <w:r>
        <w:rPr>
          <w:u w:val="single"/>
        </w:rPr>
        <w:t>Qualifications of</w:t>
      </w:r>
      <w:r w:rsidR="00060702">
        <w:rPr>
          <w:u w:val="single"/>
        </w:rPr>
        <w:t xml:space="preserve"> key</w:t>
      </w:r>
      <w:r>
        <w:rPr>
          <w:u w:val="single"/>
        </w:rPr>
        <w:t xml:space="preserve"> </w:t>
      </w:r>
      <w:r w:rsidR="00060702">
        <w:rPr>
          <w:u w:val="single"/>
        </w:rPr>
        <w:t>e</w:t>
      </w:r>
      <w:r w:rsidR="009247ED">
        <w:rPr>
          <w:u w:val="single"/>
        </w:rPr>
        <w:t>xpert</w:t>
      </w:r>
    </w:p>
    <w:p w14:paraId="68999DE6" w14:textId="1D6D4E21" w:rsidR="008B44BF" w:rsidRPr="006174BA" w:rsidRDefault="00060702" w:rsidP="001E144E">
      <w:pPr>
        <w:pStyle w:val="ListParagraph"/>
        <w:numPr>
          <w:ilvl w:val="0"/>
          <w:numId w:val="36"/>
        </w:numPr>
        <w:ind w:left="357" w:hanging="357"/>
        <w:rPr>
          <w:i/>
        </w:rPr>
      </w:pPr>
      <w:r w:rsidRPr="00060702">
        <w:t>Education/training (2.</w:t>
      </w:r>
      <w:r>
        <w:t>2</w:t>
      </w:r>
      <w:r w:rsidRPr="00060702">
        <w:t xml:space="preserve">.1): </w:t>
      </w:r>
      <w:r w:rsidR="008B44BF">
        <w:t xml:space="preserve">Higher education in the area of </w:t>
      </w:r>
      <w:r w:rsidR="00101001">
        <w:t xml:space="preserve">Public Administration, </w:t>
      </w:r>
      <w:r w:rsidR="008B44BF">
        <w:t>management</w:t>
      </w:r>
      <w:r>
        <w:t>, and others related to the Assignment</w:t>
      </w:r>
    </w:p>
    <w:p w14:paraId="3D80F9A1" w14:textId="50C06BFB" w:rsidR="00F031AF" w:rsidRPr="00F031AF" w:rsidRDefault="00F031AF" w:rsidP="00F031AF">
      <w:pPr>
        <w:pStyle w:val="ListParagraph"/>
        <w:numPr>
          <w:ilvl w:val="0"/>
          <w:numId w:val="36"/>
        </w:numPr>
        <w:ind w:left="357" w:hanging="357"/>
        <w:rPr>
          <w:iCs/>
        </w:rPr>
      </w:pPr>
      <w:r w:rsidRPr="00F031AF">
        <w:rPr>
          <w:iCs/>
        </w:rPr>
        <w:t xml:space="preserve">Language (2.2.2): </w:t>
      </w:r>
      <w:r>
        <w:rPr>
          <w:iCs/>
        </w:rPr>
        <w:t>C2 proficiency level in Armenian;</w:t>
      </w:r>
      <w:r w:rsidRPr="00F031AF">
        <w:rPr>
          <w:iCs/>
        </w:rPr>
        <w:t xml:space="preserve"> C1 proficiency level in English</w:t>
      </w:r>
    </w:p>
    <w:p w14:paraId="299B75BB" w14:textId="4E701922" w:rsidR="00F031AF" w:rsidRPr="00B207C5" w:rsidRDefault="00F031AF" w:rsidP="00F031AF">
      <w:pPr>
        <w:pStyle w:val="ListParagraph"/>
        <w:numPr>
          <w:ilvl w:val="0"/>
          <w:numId w:val="36"/>
        </w:numPr>
        <w:ind w:left="357" w:hanging="357"/>
        <w:rPr>
          <w:i/>
        </w:rPr>
      </w:pPr>
      <w:r>
        <w:t>General</w:t>
      </w:r>
      <w:r w:rsidRPr="00060702">
        <w:t xml:space="preserve"> professional experience</w:t>
      </w:r>
      <w:r>
        <w:t xml:space="preserve"> (2.2.3):</w:t>
      </w:r>
      <w:r w:rsidRPr="00060702">
        <w:t xml:space="preserve"> </w:t>
      </w:r>
      <w:r>
        <w:rPr>
          <w:iCs/>
        </w:rPr>
        <w:t>10 years of professional experience of engaging with the local self-governance sphere and in working with government bodies</w:t>
      </w:r>
    </w:p>
    <w:p w14:paraId="340E6FD3" w14:textId="0AC4B6B3" w:rsidR="008B44BF" w:rsidRPr="006174BA" w:rsidRDefault="00F031AF" w:rsidP="001E144E">
      <w:pPr>
        <w:pStyle w:val="ListParagraph"/>
        <w:numPr>
          <w:ilvl w:val="0"/>
          <w:numId w:val="36"/>
        </w:numPr>
        <w:ind w:left="357" w:hanging="357"/>
        <w:rPr>
          <w:i/>
        </w:rPr>
      </w:pPr>
      <w:r>
        <w:t>Specific</w:t>
      </w:r>
      <w:r w:rsidR="00060702" w:rsidRPr="00060702">
        <w:t xml:space="preserve"> professional experience (2.2.</w:t>
      </w:r>
      <w:r>
        <w:t>4</w:t>
      </w:r>
      <w:r w:rsidR="00060702" w:rsidRPr="00060702">
        <w:t xml:space="preserve">): </w:t>
      </w:r>
      <w:r w:rsidR="00060702">
        <w:t xml:space="preserve">10 years of professional </w:t>
      </w:r>
      <w:r w:rsidR="007E6E6A">
        <w:t xml:space="preserve">experience in </w:t>
      </w:r>
      <w:r w:rsidR="00060702">
        <w:t xml:space="preserve">HR and </w:t>
      </w:r>
      <w:r w:rsidR="007E6E6A">
        <w:t>public sector reform</w:t>
      </w:r>
      <w:r>
        <w:t>, taking account of both central and local implications</w:t>
      </w:r>
    </w:p>
    <w:p w14:paraId="329B414F" w14:textId="69BE8E90" w:rsidR="00C40FC0" w:rsidRPr="00990265" w:rsidRDefault="00F031AF" w:rsidP="001E144E">
      <w:pPr>
        <w:pStyle w:val="ListParagraph"/>
        <w:numPr>
          <w:ilvl w:val="0"/>
          <w:numId w:val="36"/>
        </w:numPr>
        <w:ind w:left="357" w:hanging="357"/>
        <w:rPr>
          <w:i/>
        </w:rPr>
      </w:pPr>
      <w:r w:rsidRPr="00F031AF">
        <w:rPr>
          <w:iCs/>
        </w:rPr>
        <w:lastRenderedPageBreak/>
        <w:t xml:space="preserve">Development Cooperation (DC) experience </w:t>
      </w:r>
      <w:r>
        <w:rPr>
          <w:iCs/>
        </w:rPr>
        <w:t xml:space="preserve">(2.2.7): </w:t>
      </w:r>
      <w:r w:rsidR="00EF4205">
        <w:rPr>
          <w:iCs/>
        </w:rPr>
        <w:t xml:space="preserve">10 years of </w:t>
      </w:r>
      <w:r w:rsidR="00060702">
        <w:rPr>
          <w:iCs/>
        </w:rPr>
        <w:t xml:space="preserve">professional </w:t>
      </w:r>
      <w:r w:rsidR="00EF4205">
        <w:rPr>
          <w:iCs/>
        </w:rPr>
        <w:t>e</w:t>
      </w:r>
      <w:r w:rsidR="00C40FC0">
        <w:rPr>
          <w:iCs/>
        </w:rPr>
        <w:t xml:space="preserve">xperience </w:t>
      </w:r>
      <w:r>
        <w:rPr>
          <w:iCs/>
        </w:rPr>
        <w:t>in cooperating</w:t>
      </w:r>
      <w:r w:rsidR="00C40FC0">
        <w:rPr>
          <w:iCs/>
        </w:rPr>
        <w:t xml:space="preserve"> with </w:t>
      </w:r>
      <w:r>
        <w:rPr>
          <w:iCs/>
        </w:rPr>
        <w:t>development cooperation</w:t>
      </w:r>
      <w:r w:rsidR="00C40FC0">
        <w:rPr>
          <w:iCs/>
        </w:rPr>
        <w:t xml:space="preserve"> </w:t>
      </w:r>
      <w:r>
        <w:rPr>
          <w:iCs/>
        </w:rPr>
        <w:t>agencies</w:t>
      </w:r>
    </w:p>
    <w:p w14:paraId="1F6B565D" w14:textId="77777777" w:rsidR="006C3F7A" w:rsidRPr="001261F8" w:rsidRDefault="006C3F7A" w:rsidP="00FD2778">
      <w:pPr>
        <w:pStyle w:val="Heading1"/>
        <w:numPr>
          <w:ilvl w:val="0"/>
          <w:numId w:val="1"/>
        </w:numPr>
      </w:pPr>
      <w:bookmarkStart w:id="43" w:name="_Toc518483356"/>
      <w:bookmarkStart w:id="44" w:name="_Toc518483357"/>
      <w:bookmarkStart w:id="45" w:name="_Toc518483358"/>
      <w:bookmarkStart w:id="46" w:name="_Toc518483359"/>
      <w:bookmarkStart w:id="47" w:name="_Toc518483360"/>
      <w:bookmarkStart w:id="48" w:name="_Toc518483361"/>
      <w:bookmarkStart w:id="49" w:name="_Toc518483362"/>
      <w:bookmarkStart w:id="50" w:name="_Toc518483363"/>
      <w:bookmarkStart w:id="51" w:name="_Toc518483364"/>
      <w:bookmarkStart w:id="52" w:name="_Toc518483365"/>
      <w:bookmarkStart w:id="53" w:name="_Toc518483366"/>
      <w:bookmarkStart w:id="54" w:name="_Toc518483367"/>
      <w:bookmarkStart w:id="55" w:name="_Toc518483368"/>
      <w:bookmarkStart w:id="56" w:name="_Toc518483369"/>
      <w:bookmarkStart w:id="57" w:name="_Toc518483370"/>
      <w:bookmarkStart w:id="58" w:name="_Toc518483371"/>
      <w:bookmarkStart w:id="59" w:name="_Toc518483372"/>
      <w:bookmarkStart w:id="60" w:name="_Toc518483373"/>
      <w:bookmarkStart w:id="61" w:name="_Toc518483374"/>
      <w:bookmarkStart w:id="62" w:name="_Toc518483375"/>
      <w:bookmarkStart w:id="63" w:name="_Ref508121809"/>
      <w:bookmarkStart w:id="64" w:name="_Toc508620008"/>
      <w:bookmarkStart w:id="65" w:name="_Toc119493832"/>
      <w:bookmarkStart w:id="66" w:name="_Toc173323207"/>
      <w:bookmarkStart w:id="67" w:name="_Hlk11949241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t>Costing requirements</w:t>
      </w:r>
      <w:bookmarkEnd w:id="63"/>
      <w:bookmarkEnd w:id="64"/>
      <w:bookmarkEnd w:id="65"/>
      <w:bookmarkEnd w:id="66"/>
    </w:p>
    <w:bookmarkEnd w:id="67"/>
    <w:p w14:paraId="30C0C1AB" w14:textId="77777777" w:rsidR="00D24BE6" w:rsidRDefault="00BB3945" w:rsidP="00C51B48">
      <w:r>
        <w:t>Specification of inputs</w:t>
      </w:r>
    </w:p>
    <w:tbl>
      <w:tblPr>
        <w:tblStyle w:val="TableGrid"/>
        <w:tblW w:w="9913" w:type="dxa"/>
        <w:tblLayout w:type="fixed"/>
        <w:tblLook w:val="04A0" w:firstRow="1" w:lastRow="0" w:firstColumn="1" w:lastColumn="0" w:noHBand="0" w:noVBand="1"/>
      </w:tblPr>
      <w:tblGrid>
        <w:gridCol w:w="3109"/>
        <w:gridCol w:w="6804"/>
      </w:tblGrid>
      <w:tr w:rsidR="00274610" w14:paraId="7019A9FE" w14:textId="77777777" w:rsidTr="00274610">
        <w:trPr>
          <w:trHeight w:val="330"/>
        </w:trPr>
        <w:tc>
          <w:tcPr>
            <w:tcW w:w="310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C1BE16A" w14:textId="77777777" w:rsidR="00274610" w:rsidRDefault="00274610" w:rsidP="00912DF2">
            <w:pPr>
              <w:spacing w:before="120" w:after="120"/>
            </w:pPr>
            <w:r>
              <w:rPr>
                <w:b/>
              </w:rPr>
              <w:t>Fee days</w:t>
            </w:r>
          </w:p>
        </w:tc>
        <w:tc>
          <w:tcPr>
            <w:tcW w:w="680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4A3845C" w14:textId="77777777" w:rsidR="00274610" w:rsidRDefault="00274610" w:rsidP="00912DF2">
            <w:pPr>
              <w:spacing w:before="120" w:after="120"/>
            </w:pPr>
            <w:r>
              <w:rPr>
                <w:b/>
                <w:color w:val="000000" w:themeColor="text1"/>
              </w:rPr>
              <w:t>Comments</w:t>
            </w:r>
          </w:p>
        </w:tc>
      </w:tr>
      <w:tr w:rsidR="00274610" w14:paraId="0D98DA9B" w14:textId="77777777" w:rsidTr="00274610">
        <w:trPr>
          <w:trHeight w:val="330"/>
        </w:trPr>
        <w:tc>
          <w:tcPr>
            <w:tcW w:w="3109" w:type="dxa"/>
            <w:tcBorders>
              <w:top w:val="single" w:sz="8" w:space="0" w:color="auto"/>
              <w:left w:val="single" w:sz="8" w:space="0" w:color="auto"/>
              <w:bottom w:val="single" w:sz="8" w:space="0" w:color="auto"/>
              <w:right w:val="single" w:sz="8" w:space="0" w:color="auto"/>
            </w:tcBorders>
          </w:tcPr>
          <w:p w14:paraId="239B56AF" w14:textId="19F8B42D" w:rsidR="00274610" w:rsidRPr="001935C5" w:rsidRDefault="00274610" w:rsidP="00912DF2">
            <w:pPr>
              <w:spacing w:before="120" w:after="120"/>
              <w:rPr>
                <w:rFonts w:eastAsia="Arial" w:cs="Arial"/>
              </w:rPr>
            </w:pPr>
            <w:r>
              <w:rPr>
                <w:b/>
                <w:color w:val="000000" w:themeColor="text1"/>
              </w:rPr>
              <w:t>Fee of Expert 1</w:t>
            </w:r>
          </w:p>
        </w:tc>
        <w:tc>
          <w:tcPr>
            <w:tcW w:w="6804" w:type="dxa"/>
            <w:tcBorders>
              <w:top w:val="single" w:sz="8" w:space="0" w:color="auto"/>
              <w:left w:val="single" w:sz="8" w:space="0" w:color="auto"/>
              <w:bottom w:val="single" w:sz="8" w:space="0" w:color="auto"/>
              <w:right w:val="single" w:sz="8" w:space="0" w:color="auto"/>
            </w:tcBorders>
          </w:tcPr>
          <w:p w14:paraId="19593026" w14:textId="77777777" w:rsidR="00274610" w:rsidRDefault="00274610" w:rsidP="00912DF2">
            <w:pPr>
              <w:spacing w:before="120" w:after="120"/>
            </w:pPr>
            <w:r>
              <w:rPr>
                <w:rFonts w:cs="Arial"/>
              </w:rPr>
              <w:t>Expert fee(s), per working day and in total</w:t>
            </w:r>
          </w:p>
        </w:tc>
      </w:tr>
      <w:tr w:rsidR="00274610" w14:paraId="154BE468" w14:textId="77777777" w:rsidTr="00274610">
        <w:trPr>
          <w:trHeight w:val="330"/>
        </w:trPr>
        <w:tc>
          <w:tcPr>
            <w:tcW w:w="310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C0713A6" w14:textId="77777777" w:rsidR="00274610" w:rsidRDefault="00274610" w:rsidP="00912DF2">
            <w:pPr>
              <w:spacing w:before="120" w:after="120"/>
            </w:pPr>
            <w:r>
              <w:rPr>
                <w:b/>
                <w:color w:val="000000" w:themeColor="text1"/>
              </w:rPr>
              <w:t>Travel expenses</w:t>
            </w:r>
          </w:p>
        </w:tc>
        <w:tc>
          <w:tcPr>
            <w:tcW w:w="680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68988A4" w14:textId="77777777" w:rsidR="00274610" w:rsidRDefault="00274610" w:rsidP="00912DF2">
            <w:pPr>
              <w:spacing w:before="120" w:after="120"/>
            </w:pPr>
            <w:r>
              <w:rPr>
                <w:b/>
                <w:color w:val="000000" w:themeColor="text1"/>
              </w:rPr>
              <w:t>Comments</w:t>
            </w:r>
          </w:p>
        </w:tc>
      </w:tr>
      <w:tr w:rsidR="00274610" w14:paraId="6C7A1122" w14:textId="77777777" w:rsidTr="00274610">
        <w:trPr>
          <w:trHeight w:val="330"/>
        </w:trPr>
        <w:tc>
          <w:tcPr>
            <w:tcW w:w="3109" w:type="dxa"/>
            <w:tcBorders>
              <w:top w:val="single" w:sz="8" w:space="0" w:color="auto"/>
              <w:left w:val="single" w:sz="8" w:space="0" w:color="auto"/>
              <w:bottom w:val="single" w:sz="8" w:space="0" w:color="auto"/>
              <w:right w:val="single" w:sz="8" w:space="0" w:color="auto"/>
            </w:tcBorders>
          </w:tcPr>
          <w:p w14:paraId="1B8621C1" w14:textId="714B12AC" w:rsidR="00274610" w:rsidRPr="004D5D50" w:rsidRDefault="00E6218E" w:rsidP="00912DF2">
            <w:pPr>
              <w:spacing w:before="120" w:after="120"/>
              <w:rPr>
                <w:rFonts w:eastAsia="Arial" w:cs="Arial"/>
                <w:b/>
                <w:bCs/>
                <w:color w:val="000000" w:themeColor="text1"/>
              </w:rPr>
            </w:pPr>
            <w:r w:rsidRPr="00E6218E">
              <w:rPr>
                <w:b/>
                <w:color w:val="000000" w:themeColor="text1"/>
              </w:rPr>
              <w:t>Overnight allowance in case of travel overnight outside of Yerevan is needed to accomplish the assignment</w:t>
            </w:r>
          </w:p>
        </w:tc>
        <w:tc>
          <w:tcPr>
            <w:tcW w:w="6804" w:type="dxa"/>
            <w:tcBorders>
              <w:top w:val="single" w:sz="8" w:space="0" w:color="auto"/>
              <w:left w:val="single" w:sz="8" w:space="0" w:color="auto"/>
              <w:bottom w:val="single" w:sz="8" w:space="0" w:color="auto"/>
              <w:right w:val="single" w:sz="8" w:space="0" w:color="auto"/>
            </w:tcBorders>
          </w:tcPr>
          <w:p w14:paraId="03C9B6E5" w14:textId="090A5690" w:rsidR="00274610" w:rsidRDefault="009C59EB" w:rsidP="00912DF2">
            <w:pPr>
              <w:spacing w:before="120" w:after="120"/>
            </w:pPr>
            <w:r w:rsidRPr="009C59EB">
              <w:t>Accommodation is upon provision of evidence. In case there is no provision of evidence, the accommodation will be reimbursed by lump sum of AMD 5,000 per night.</w:t>
            </w:r>
          </w:p>
        </w:tc>
      </w:tr>
      <w:tr w:rsidR="00274610" w14:paraId="72D5317D" w14:textId="77777777" w:rsidTr="00274610">
        <w:trPr>
          <w:trHeight w:val="330"/>
        </w:trPr>
        <w:tc>
          <w:tcPr>
            <w:tcW w:w="310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1F02A0F" w14:textId="77777777" w:rsidR="00274610" w:rsidRDefault="00274610" w:rsidP="00912DF2">
            <w:pPr>
              <w:spacing w:before="120" w:after="120"/>
            </w:pPr>
            <w:r>
              <w:rPr>
                <w:b/>
                <w:color w:val="000000" w:themeColor="text1"/>
              </w:rPr>
              <w:t>Transport</w:t>
            </w:r>
          </w:p>
        </w:tc>
        <w:tc>
          <w:tcPr>
            <w:tcW w:w="680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58A39B9" w14:textId="77777777" w:rsidR="00274610" w:rsidRDefault="00274610" w:rsidP="00912DF2">
            <w:pPr>
              <w:spacing w:before="120" w:after="120"/>
            </w:pPr>
            <w:r>
              <w:rPr>
                <w:b/>
                <w:color w:val="000000" w:themeColor="text1"/>
              </w:rPr>
              <w:t>Comments</w:t>
            </w:r>
          </w:p>
        </w:tc>
      </w:tr>
      <w:tr w:rsidR="00274610" w14:paraId="45CD96BF" w14:textId="77777777" w:rsidTr="00274610">
        <w:trPr>
          <w:trHeight w:val="330"/>
        </w:trPr>
        <w:tc>
          <w:tcPr>
            <w:tcW w:w="3109" w:type="dxa"/>
            <w:tcBorders>
              <w:top w:val="single" w:sz="8" w:space="0" w:color="auto"/>
              <w:left w:val="single" w:sz="8" w:space="0" w:color="auto"/>
              <w:bottom w:val="single" w:sz="8" w:space="0" w:color="auto"/>
              <w:right w:val="single" w:sz="8" w:space="0" w:color="auto"/>
            </w:tcBorders>
          </w:tcPr>
          <w:p w14:paraId="77D88CF5" w14:textId="77777777" w:rsidR="00274610" w:rsidRPr="00B17B12" w:rsidRDefault="00274610" w:rsidP="00912DF2">
            <w:pPr>
              <w:spacing w:before="120" w:after="120"/>
              <w:rPr>
                <w:rFonts w:eastAsia="Arial" w:cs="Arial"/>
                <w:b/>
                <w:bCs/>
                <w:color w:val="000000" w:themeColor="text1"/>
              </w:rPr>
            </w:pPr>
            <w:r>
              <w:rPr>
                <w:b/>
                <w:color w:val="000000" w:themeColor="text1"/>
              </w:rPr>
              <w:t>Travel expenses (train, car)</w:t>
            </w:r>
          </w:p>
        </w:tc>
        <w:tc>
          <w:tcPr>
            <w:tcW w:w="6804" w:type="dxa"/>
            <w:tcBorders>
              <w:top w:val="single" w:sz="8" w:space="0" w:color="auto"/>
              <w:left w:val="single" w:sz="8" w:space="0" w:color="auto"/>
              <w:bottom w:val="single" w:sz="8" w:space="0" w:color="auto"/>
              <w:right w:val="single" w:sz="8" w:space="0" w:color="auto"/>
            </w:tcBorders>
          </w:tcPr>
          <w:p w14:paraId="49A47948" w14:textId="77777777" w:rsidR="00274610" w:rsidRPr="003B2014" w:rsidRDefault="00274610" w:rsidP="00912DF2">
            <w:pPr>
              <w:pStyle w:val="FootnoteText"/>
              <w:rPr>
                <w:lang w:val="en-US"/>
              </w:rPr>
            </w:pPr>
            <w:r>
              <w:t>T</w:t>
            </w:r>
            <w:r w:rsidRPr="00E747D6">
              <w:t>ravelling by private car is reimbursed with 100 AMD per km</w:t>
            </w:r>
            <w:r>
              <w:t xml:space="preserve"> </w:t>
            </w:r>
            <w:r w:rsidRPr="00A55CF2">
              <w:rPr>
                <w:rFonts w:cs="Arial"/>
                <w:szCs w:val="22"/>
              </w:rPr>
              <w:t xml:space="preserve">as a lump sum or upon provision of </w:t>
            </w:r>
            <w:r>
              <w:rPr>
                <w:rFonts w:cs="Arial"/>
                <w:szCs w:val="22"/>
              </w:rPr>
              <w:t>evidence-based</w:t>
            </w:r>
            <w:r w:rsidRPr="00A55CF2">
              <w:rPr>
                <w:rFonts w:cs="Arial"/>
                <w:szCs w:val="22"/>
              </w:rPr>
              <w:t xml:space="preserve"> on </w:t>
            </w:r>
            <w:r>
              <w:rPr>
                <w:rFonts w:cs="Arial"/>
                <w:szCs w:val="22"/>
              </w:rPr>
              <w:t xml:space="preserve">the </w:t>
            </w:r>
            <w:r w:rsidRPr="00A55CF2">
              <w:rPr>
                <w:rFonts w:cs="Arial"/>
                <w:szCs w:val="22"/>
              </w:rPr>
              <w:t>market price of transportation service</w:t>
            </w:r>
            <w:r w:rsidRPr="00E747D6">
              <w:t>.</w:t>
            </w:r>
          </w:p>
        </w:tc>
      </w:tr>
      <w:tr w:rsidR="00274610" w14:paraId="7DF40A92" w14:textId="77777777" w:rsidTr="00274610">
        <w:trPr>
          <w:trHeight w:val="330"/>
        </w:trPr>
        <w:tc>
          <w:tcPr>
            <w:tcW w:w="310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B1D042F" w14:textId="77777777" w:rsidR="00274610" w:rsidRDefault="00274610" w:rsidP="00912DF2">
            <w:pPr>
              <w:spacing w:before="120" w:after="120"/>
            </w:pPr>
            <w:r>
              <w:rPr>
                <w:b/>
                <w:color w:val="000000" w:themeColor="text1"/>
              </w:rPr>
              <w:t>Other costs</w:t>
            </w:r>
          </w:p>
        </w:tc>
        <w:tc>
          <w:tcPr>
            <w:tcW w:w="680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336875F" w14:textId="77777777" w:rsidR="00274610" w:rsidRDefault="00274610" w:rsidP="00912DF2">
            <w:pPr>
              <w:spacing w:before="120" w:after="120"/>
            </w:pPr>
            <w:r>
              <w:rPr>
                <w:b/>
                <w:color w:val="000000" w:themeColor="text1"/>
              </w:rPr>
              <w:t>Comments</w:t>
            </w:r>
          </w:p>
        </w:tc>
      </w:tr>
      <w:tr w:rsidR="00274610" w14:paraId="73DBD2C7" w14:textId="77777777" w:rsidTr="00274610">
        <w:trPr>
          <w:trHeight w:val="330"/>
        </w:trPr>
        <w:tc>
          <w:tcPr>
            <w:tcW w:w="3109" w:type="dxa"/>
            <w:tcBorders>
              <w:top w:val="single" w:sz="8" w:space="0" w:color="auto"/>
              <w:left w:val="single" w:sz="8" w:space="0" w:color="auto"/>
              <w:bottom w:val="single" w:sz="8" w:space="0" w:color="auto"/>
              <w:right w:val="single" w:sz="8" w:space="0" w:color="auto"/>
            </w:tcBorders>
          </w:tcPr>
          <w:p w14:paraId="164672AF" w14:textId="77777777" w:rsidR="00274610" w:rsidRPr="0090643A" w:rsidRDefault="00274610" w:rsidP="00912DF2">
            <w:pPr>
              <w:spacing w:before="120" w:after="120"/>
              <w:rPr>
                <w:rFonts w:eastAsia="Arial" w:cs="Arial"/>
                <w:b/>
                <w:bCs/>
                <w:color w:val="000000" w:themeColor="text1"/>
              </w:rPr>
            </w:pPr>
            <w:r>
              <w:rPr>
                <w:b/>
                <w:color w:val="000000" w:themeColor="text1"/>
              </w:rPr>
              <w:t>Other costs</w:t>
            </w:r>
          </w:p>
          <w:p w14:paraId="27AA6FEE" w14:textId="77777777" w:rsidR="00274610" w:rsidRPr="00B6352E" w:rsidRDefault="00274610" w:rsidP="00912DF2">
            <w:pPr>
              <w:pStyle w:val="ZulschenderText"/>
              <w:spacing w:before="120" w:after="120"/>
              <w:rPr>
                <w:rFonts w:eastAsia="Arial" w:cs="Arial"/>
                <w:color w:val="000000" w:themeColor="text1"/>
              </w:rPr>
            </w:pPr>
          </w:p>
        </w:tc>
        <w:tc>
          <w:tcPr>
            <w:tcW w:w="6804" w:type="dxa"/>
            <w:tcBorders>
              <w:top w:val="single" w:sz="8" w:space="0" w:color="auto"/>
              <w:left w:val="single" w:sz="8" w:space="0" w:color="auto"/>
              <w:bottom w:val="single" w:sz="8" w:space="0" w:color="auto"/>
              <w:right w:val="single" w:sz="8" w:space="0" w:color="auto"/>
            </w:tcBorders>
          </w:tcPr>
          <w:p w14:paraId="5094B475" w14:textId="77777777" w:rsidR="00274610" w:rsidRPr="002833D2" w:rsidRDefault="00274610" w:rsidP="00912DF2">
            <w:pPr>
              <w:pStyle w:val="FootnoteText"/>
              <w:rPr>
                <w:rFonts w:cs="Arial"/>
                <w:szCs w:val="22"/>
              </w:rPr>
            </w:pPr>
            <w:r>
              <w:rPr>
                <w:rFonts w:cs="Arial"/>
                <w:szCs w:val="22"/>
              </w:rPr>
              <w:t xml:space="preserve">Any other expenses essential for implementing the assignment, e.g., costs for materials. </w:t>
            </w:r>
            <w:r w:rsidRPr="003D2AB3">
              <w:rPr>
                <w:rFonts w:cs="Arial"/>
                <w:szCs w:val="22"/>
              </w:rPr>
              <w:t>Evidence of these expenses must be submitted.</w:t>
            </w:r>
          </w:p>
        </w:tc>
      </w:tr>
    </w:tbl>
    <w:p w14:paraId="11B091CA" w14:textId="77777777" w:rsidR="008261A9" w:rsidRPr="001261F8" w:rsidRDefault="008261A9" w:rsidP="00FD2778">
      <w:pPr>
        <w:pStyle w:val="Heading1"/>
        <w:numPr>
          <w:ilvl w:val="0"/>
          <w:numId w:val="1"/>
        </w:numPr>
      </w:pPr>
      <w:bookmarkStart w:id="68" w:name="_Toc119492765"/>
      <w:bookmarkStart w:id="69" w:name="_Toc119492810"/>
      <w:bookmarkStart w:id="70" w:name="_Toc119492859"/>
      <w:bookmarkStart w:id="71" w:name="_Toc119492974"/>
      <w:bookmarkStart w:id="72" w:name="_Toc119493062"/>
      <w:bookmarkStart w:id="73" w:name="_Toc119493212"/>
      <w:bookmarkStart w:id="74" w:name="_Toc119493836"/>
      <w:bookmarkStart w:id="75" w:name="_Toc119492775"/>
      <w:bookmarkStart w:id="76" w:name="_Toc119492820"/>
      <w:bookmarkStart w:id="77" w:name="_Toc119492869"/>
      <w:bookmarkStart w:id="78" w:name="_Toc119492984"/>
      <w:bookmarkStart w:id="79" w:name="_Toc119493072"/>
      <w:bookmarkStart w:id="80" w:name="_Toc119493222"/>
      <w:bookmarkStart w:id="81" w:name="_Toc119493846"/>
      <w:bookmarkStart w:id="82" w:name="_Ref508121786"/>
      <w:bookmarkStart w:id="83" w:name="_Ref508122384"/>
      <w:bookmarkStart w:id="84" w:name="_Ref508122597"/>
      <w:bookmarkStart w:id="85" w:name="_Toc508620018"/>
      <w:bookmarkStart w:id="86" w:name="_Toc119493847"/>
      <w:bookmarkStart w:id="87" w:name="_Toc173323208"/>
      <w:bookmarkEnd w:id="68"/>
      <w:bookmarkEnd w:id="69"/>
      <w:bookmarkEnd w:id="70"/>
      <w:bookmarkEnd w:id="71"/>
      <w:bookmarkEnd w:id="72"/>
      <w:bookmarkEnd w:id="73"/>
      <w:bookmarkEnd w:id="74"/>
      <w:bookmarkEnd w:id="75"/>
      <w:bookmarkEnd w:id="76"/>
      <w:bookmarkEnd w:id="77"/>
      <w:bookmarkEnd w:id="78"/>
      <w:bookmarkEnd w:id="79"/>
      <w:bookmarkEnd w:id="80"/>
      <w:bookmarkEnd w:id="81"/>
      <w:r>
        <w:t xml:space="preserve">Requirements on the format of the </w:t>
      </w:r>
      <w:bookmarkEnd w:id="82"/>
      <w:bookmarkEnd w:id="83"/>
      <w:bookmarkEnd w:id="84"/>
      <w:bookmarkEnd w:id="85"/>
      <w:bookmarkEnd w:id="86"/>
      <w:r w:rsidR="0024518E">
        <w:t>tender</w:t>
      </w:r>
      <w:bookmarkEnd w:id="87"/>
    </w:p>
    <w:p w14:paraId="3DD5A1A0" w14:textId="7D184ADF" w:rsidR="008261A9" w:rsidRPr="001261F8" w:rsidRDefault="008261A9" w:rsidP="008261A9">
      <w:r>
        <w:t xml:space="preserve">The structure of the </w:t>
      </w:r>
      <w:r w:rsidR="00092A35">
        <w:t xml:space="preserve">tender </w:t>
      </w:r>
      <w:r>
        <w:t xml:space="preserve">must correspond to the structure of the ToRs. In particular, the detailed structure of the concept (Chapter 3) </w:t>
      </w:r>
      <w:r w:rsidR="0024518E">
        <w:t>should</w:t>
      </w:r>
      <w:r>
        <w:t xml:space="preserve"> be organised in accordance with the positively weighted criteria in the assessment grid (not with zero)</w:t>
      </w:r>
      <w:r w:rsidR="0024518E">
        <w:t>.</w:t>
      </w:r>
      <w:r>
        <w:t xml:space="preserve"> </w:t>
      </w:r>
      <w:r w:rsidR="0024518E">
        <w:t xml:space="preserve">The tender </w:t>
      </w:r>
      <w:r>
        <w:t xml:space="preserve">must be legible (font size 11 or larger) and clearly formulated. </w:t>
      </w:r>
      <w:r w:rsidR="00E4061A">
        <w:t xml:space="preserve">It </w:t>
      </w:r>
      <w:r w:rsidR="0024518E">
        <w:t xml:space="preserve">must be </w:t>
      </w:r>
      <w:r>
        <w:t>drawn up in</w:t>
      </w:r>
      <w:r w:rsidR="00F53C45">
        <w:t xml:space="preserve"> Armenian or</w:t>
      </w:r>
      <w:r>
        <w:t xml:space="preserve"> </w:t>
      </w:r>
      <w:r w:rsidR="004813D1">
        <w:t>English</w:t>
      </w:r>
      <w:r>
        <w:t xml:space="preserve"> (language</w:t>
      </w:r>
      <w:r w:rsidR="004813D1">
        <w:t>).</w:t>
      </w:r>
    </w:p>
    <w:p w14:paraId="47A651E7" w14:textId="66A99277" w:rsidR="009C4E7F" w:rsidRDefault="008261A9" w:rsidP="008261A9">
      <w:r w:rsidRPr="00924703">
        <w:rPr>
          <w:u w:val="single"/>
        </w:rPr>
        <w:t xml:space="preserve">The complete </w:t>
      </w:r>
      <w:r w:rsidR="0024518E" w:rsidRPr="00924703">
        <w:rPr>
          <w:u w:val="single"/>
        </w:rPr>
        <w:t xml:space="preserve">tender </w:t>
      </w:r>
      <w:r w:rsidR="00996D0D" w:rsidRPr="00924703">
        <w:rPr>
          <w:u w:val="single"/>
        </w:rPr>
        <w:t xml:space="preserve">must </w:t>
      </w:r>
      <w:r w:rsidRPr="00924703">
        <w:rPr>
          <w:u w:val="single"/>
        </w:rPr>
        <w:t>not exceed</w:t>
      </w:r>
      <w:r w:rsidR="00924703" w:rsidRPr="00924703">
        <w:rPr>
          <w:u w:val="single"/>
        </w:rPr>
        <w:t xml:space="preserve"> 15</w:t>
      </w:r>
      <w:r w:rsidRPr="00924703">
        <w:rPr>
          <w:u w:val="single"/>
        </w:rPr>
        <w:t xml:space="preserve"> pages</w:t>
      </w:r>
      <w:r>
        <w:t xml:space="preserve"> (excluding CVs</w:t>
      </w:r>
      <w:r w:rsidR="0065624B">
        <w:t xml:space="preserve"> and title page/ list of contents</w:t>
      </w:r>
      <w:r>
        <w:t xml:space="preserve">). If one of the maximum page lengths is exceeded, the content appearing after the cut-off point will not be included in the assessment. External content (e.g. links </w:t>
      </w:r>
      <w:r w:rsidR="0024518E">
        <w:t>t</w:t>
      </w:r>
      <w:r>
        <w:t>o websites) will also not be considered.</w:t>
      </w:r>
    </w:p>
    <w:p w14:paraId="7EE83580" w14:textId="09E9980D" w:rsidR="008261A9" w:rsidRPr="001261F8" w:rsidRDefault="008261A9" w:rsidP="008261A9">
      <w:r>
        <w:t>The CV of the personnel proposed in accordance with Chapter </w:t>
      </w:r>
      <w:r w:rsidR="00337876" w:rsidRPr="001261F8">
        <w:fldChar w:fldCharType="begin"/>
      </w:r>
      <w:r w:rsidR="00337876" w:rsidRPr="001261F8">
        <w:instrText xml:space="preserve"> REF _Ref508122930 \r \h </w:instrText>
      </w:r>
      <w:r w:rsidR="00337876" w:rsidRPr="001261F8">
        <w:fldChar w:fldCharType="separate"/>
      </w:r>
      <w:r w:rsidR="006319B9">
        <w:t>4</w:t>
      </w:r>
      <w:r w:rsidR="00337876" w:rsidRPr="001261F8">
        <w:fldChar w:fldCharType="end"/>
      </w:r>
      <w:r>
        <w:t xml:space="preserve"> of the ToRs must be submitted using the format specified in the terms and conditions for application. The CV </w:t>
      </w:r>
      <w:r w:rsidRPr="00924703">
        <w:rPr>
          <w:u w:val="single"/>
        </w:rPr>
        <w:t>shall not exceed 4 pages</w:t>
      </w:r>
      <w:r>
        <w:t>. The</w:t>
      </w:r>
      <w:r w:rsidR="0024518E">
        <w:t>y</w:t>
      </w:r>
      <w:r>
        <w:t xml:space="preserve"> must clearly show the position and job the proposed person held in the reference project and for how long. The CV </w:t>
      </w:r>
      <w:r w:rsidR="00002D50">
        <w:t>shall</w:t>
      </w:r>
      <w:r>
        <w:t xml:space="preserve"> also be submitted in</w:t>
      </w:r>
      <w:r w:rsidR="001304A3">
        <w:t xml:space="preserve"> the same language as the technical proposal.</w:t>
      </w:r>
    </w:p>
    <w:p w14:paraId="37ADCC39" w14:textId="40674C61" w:rsidR="001973B3" w:rsidRPr="00F53C45" w:rsidRDefault="00DD45A1" w:rsidP="008B1B3B">
      <w:pPr>
        <w:rPr>
          <w:u w:val="single"/>
        </w:rPr>
      </w:pPr>
      <w:r>
        <w:t xml:space="preserve">Please calculate your </w:t>
      </w:r>
      <w:r w:rsidR="0024518E">
        <w:t>financial tender</w:t>
      </w:r>
      <w:r>
        <w:t xml:space="preserve"> based exactly on the parameters specified in Chapter 5 Quantitative requirements. The contractor is not contractually entitled to use up the days, trips, workshops or budgets in full. The number of days, trips and workshops and the budget</w:t>
      </w:r>
      <w:r w:rsidR="00996D0D">
        <w:t>s</w:t>
      </w:r>
      <w:r>
        <w:t xml:space="preserve"> </w:t>
      </w:r>
      <w:r w:rsidR="00996D0D">
        <w:t>wi</w:t>
      </w:r>
      <w:r>
        <w:t>ll be contractually agreed</w:t>
      </w:r>
      <w:r w:rsidR="00996D0D">
        <w:t xml:space="preserve"> as maximum limits</w:t>
      </w:r>
      <w:r>
        <w:t xml:space="preserve">. The specifications for pricing are </w:t>
      </w:r>
      <w:r>
        <w:lastRenderedPageBreak/>
        <w:t>defined in the price schedule.</w:t>
      </w:r>
      <w:r w:rsidR="00924703">
        <w:rPr>
          <w:b/>
          <w:bCs/>
        </w:rPr>
        <w:t xml:space="preserve"> </w:t>
      </w:r>
      <w:r w:rsidR="00924703" w:rsidRPr="00924703">
        <w:rPr>
          <w:u w:val="single"/>
        </w:rPr>
        <w:t>The financial proposal must be submitted separately from the technical proposal.</w:t>
      </w:r>
      <w:bookmarkStart w:id="88" w:name="_Toc119492779"/>
      <w:bookmarkStart w:id="89" w:name="_Toc119492824"/>
      <w:bookmarkStart w:id="90" w:name="_Toc119492876"/>
      <w:bookmarkStart w:id="91" w:name="_Toc119492991"/>
      <w:bookmarkStart w:id="92" w:name="_Toc119493079"/>
      <w:bookmarkStart w:id="93" w:name="_Toc119493229"/>
      <w:bookmarkStart w:id="94" w:name="_Toc119493854"/>
      <w:bookmarkStart w:id="95" w:name="_Toc119492780"/>
      <w:bookmarkStart w:id="96" w:name="_Toc119492825"/>
      <w:bookmarkStart w:id="97" w:name="_Toc119492877"/>
      <w:bookmarkStart w:id="98" w:name="_Toc119492992"/>
      <w:bookmarkStart w:id="99" w:name="_Toc119493080"/>
      <w:bookmarkStart w:id="100" w:name="_Toc119493230"/>
      <w:bookmarkStart w:id="101" w:name="_Toc119493855"/>
      <w:bookmarkStart w:id="102" w:name="_Toc119492781"/>
      <w:bookmarkStart w:id="103" w:name="_Toc119492826"/>
      <w:bookmarkStart w:id="104" w:name="_Toc119492878"/>
      <w:bookmarkStart w:id="105" w:name="_Toc119492993"/>
      <w:bookmarkStart w:id="106" w:name="_Toc119493081"/>
      <w:bookmarkStart w:id="107" w:name="_Toc119493231"/>
      <w:bookmarkStart w:id="108" w:name="_Toc119493856"/>
      <w:bookmarkStart w:id="109" w:name="_Toc119492782"/>
      <w:bookmarkStart w:id="110" w:name="_Toc119492827"/>
      <w:bookmarkStart w:id="111" w:name="_Toc119492879"/>
      <w:bookmarkStart w:id="112" w:name="_Toc119492994"/>
      <w:bookmarkStart w:id="113" w:name="_Toc119493082"/>
      <w:bookmarkStart w:id="114" w:name="_Toc119493232"/>
      <w:bookmarkStart w:id="115" w:name="_Toc119493857"/>
      <w:bookmarkStart w:id="116" w:name="_Toc119492783"/>
      <w:bookmarkStart w:id="117" w:name="_Toc119492828"/>
      <w:bookmarkStart w:id="118" w:name="_Toc119492880"/>
      <w:bookmarkStart w:id="119" w:name="_Toc119492995"/>
      <w:bookmarkStart w:id="120" w:name="_Toc119493083"/>
      <w:bookmarkStart w:id="121" w:name="_Toc119493233"/>
      <w:bookmarkStart w:id="122" w:name="_Toc119493858"/>
      <w:bookmarkStart w:id="123" w:name="_Toc119492784"/>
      <w:bookmarkStart w:id="124" w:name="_Toc119492829"/>
      <w:bookmarkStart w:id="125" w:name="_Toc119492881"/>
      <w:bookmarkStart w:id="126" w:name="_Toc119492996"/>
      <w:bookmarkStart w:id="127" w:name="_Toc119493084"/>
      <w:bookmarkStart w:id="128" w:name="_Toc119493234"/>
      <w:bookmarkStart w:id="129" w:name="_Toc119493859"/>
      <w:bookmarkStart w:id="130" w:name="_Toc119492785"/>
      <w:bookmarkStart w:id="131" w:name="_Toc119492830"/>
      <w:bookmarkStart w:id="132" w:name="_Toc119492882"/>
      <w:bookmarkStart w:id="133" w:name="_Toc119492997"/>
      <w:bookmarkStart w:id="134" w:name="_Toc119493085"/>
      <w:bookmarkStart w:id="135" w:name="_Toc119493235"/>
      <w:bookmarkStart w:id="136" w:name="_Toc119493860"/>
      <w:bookmarkStart w:id="137" w:name="_Toc119492786"/>
      <w:bookmarkStart w:id="138" w:name="_Toc119492831"/>
      <w:bookmarkStart w:id="139" w:name="_Toc119492883"/>
      <w:bookmarkStart w:id="140" w:name="_Toc119492998"/>
      <w:bookmarkStart w:id="141" w:name="_Toc119493086"/>
      <w:bookmarkStart w:id="142" w:name="_Toc119493236"/>
      <w:bookmarkStart w:id="143" w:name="_Toc119493861"/>
      <w:bookmarkStart w:id="144" w:name="_Toc119492787"/>
      <w:bookmarkStart w:id="145" w:name="_Toc119492832"/>
      <w:bookmarkStart w:id="146" w:name="_Toc119492884"/>
      <w:bookmarkStart w:id="147" w:name="_Toc119492999"/>
      <w:bookmarkStart w:id="148" w:name="_Toc119493087"/>
      <w:bookmarkStart w:id="149" w:name="_Toc119493237"/>
      <w:bookmarkStart w:id="150" w:name="_Toc119493862"/>
      <w:bookmarkStart w:id="151" w:name="_Toc119492788"/>
      <w:bookmarkStart w:id="152" w:name="_Toc119492833"/>
      <w:bookmarkStart w:id="153" w:name="_Toc119492885"/>
      <w:bookmarkStart w:id="154" w:name="_Toc119493000"/>
      <w:bookmarkStart w:id="155" w:name="_Toc119493088"/>
      <w:bookmarkStart w:id="156" w:name="_Toc119493238"/>
      <w:bookmarkStart w:id="157" w:name="_Toc119493863"/>
      <w:bookmarkStart w:id="158" w:name="_Toc119492789"/>
      <w:bookmarkStart w:id="159" w:name="_Toc119492834"/>
      <w:bookmarkStart w:id="160" w:name="_Toc119492886"/>
      <w:bookmarkStart w:id="161" w:name="_Toc119493001"/>
      <w:bookmarkStart w:id="162" w:name="_Toc119493089"/>
      <w:bookmarkStart w:id="163" w:name="_Toc119493239"/>
      <w:bookmarkStart w:id="164" w:name="_Toc119493864"/>
      <w:bookmarkStart w:id="165" w:name="_Toc119492790"/>
      <w:bookmarkStart w:id="166" w:name="_Toc119492835"/>
      <w:bookmarkStart w:id="167" w:name="_Toc119492887"/>
      <w:bookmarkStart w:id="168" w:name="_Toc119493002"/>
      <w:bookmarkStart w:id="169" w:name="_Toc119493090"/>
      <w:bookmarkStart w:id="170" w:name="_Toc119493240"/>
      <w:bookmarkStart w:id="171" w:name="_Toc119493865"/>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sectPr w:rsidR="001973B3" w:rsidRPr="00F53C45" w:rsidSect="00A53905">
      <w:headerReference w:type="default" r:id="rId11"/>
      <w:footerReference w:type="default" r:id="rId12"/>
      <w:headerReference w:type="first" r:id="rId13"/>
      <w:footerReference w:type="first" r:id="rId14"/>
      <w:pgSz w:w="11906" w:h="16838" w:code="9"/>
      <w:pgMar w:top="1418" w:right="1418" w:bottom="1276" w:left="1418" w:header="425"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B6B084" w14:textId="77777777" w:rsidR="00FB2E96" w:rsidRDefault="00FB2E96" w:rsidP="00E0714A">
      <w:r>
        <w:separator/>
      </w:r>
    </w:p>
    <w:p w14:paraId="019E9D56" w14:textId="77777777" w:rsidR="00FB2E96" w:rsidRDefault="00FB2E96"/>
    <w:p w14:paraId="3D069681" w14:textId="77777777" w:rsidR="00FB2E96" w:rsidRDefault="00FB2E96"/>
  </w:endnote>
  <w:endnote w:type="continuationSeparator" w:id="0">
    <w:p w14:paraId="6A65F741" w14:textId="77777777" w:rsidR="00FB2E96" w:rsidRDefault="00FB2E96" w:rsidP="00E0714A">
      <w:r>
        <w:continuationSeparator/>
      </w:r>
    </w:p>
    <w:p w14:paraId="64CB5D77" w14:textId="77777777" w:rsidR="00FB2E96" w:rsidRDefault="00FB2E96"/>
    <w:p w14:paraId="68CD8ACD" w14:textId="77777777" w:rsidR="00FB2E96" w:rsidRDefault="00FB2E96"/>
  </w:endnote>
  <w:endnote w:type="continuationNotice" w:id="1">
    <w:p w14:paraId="70FE85AB" w14:textId="77777777" w:rsidR="00FB2E96" w:rsidRDefault="00FB2E96">
      <w:pPr>
        <w:spacing w:after="0"/>
      </w:pPr>
    </w:p>
    <w:p w14:paraId="6F5AF6A4" w14:textId="77777777" w:rsidR="00FB2E96" w:rsidRDefault="00FB2E96" w:rsidP="002A43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D097CA" w14:textId="77777777" w:rsidR="008934FE" w:rsidRPr="00B53644" w:rsidRDefault="008934FE" w:rsidP="00B53644">
    <w:pPr>
      <w:tabs>
        <w:tab w:val="left" w:pos="7740"/>
      </w:tabs>
      <w:jc w:val="right"/>
      <w:rPr>
        <w:rFonts w:cs="Arial"/>
        <w:szCs w:val="18"/>
      </w:rPr>
    </w:pPr>
    <w:r>
      <w:rPr>
        <w:rFonts w:cs="Arial"/>
      </w:rPr>
      <w:fldChar w:fldCharType="begin"/>
    </w:r>
    <w:r>
      <w:rPr>
        <w:rFonts w:cs="Arial"/>
      </w:rPr>
      <w:instrText xml:space="preserve"> PAGE  \* Arabic  \* MERGEFORMAT </w:instrText>
    </w:r>
    <w:r>
      <w:rPr>
        <w:rFonts w:cs="Arial"/>
      </w:rPr>
      <w:fldChar w:fldCharType="separate"/>
    </w:r>
    <w:r w:rsidR="00443597">
      <w:rPr>
        <w:rFonts w:cs="Arial"/>
        <w:noProof/>
      </w:rPr>
      <w:t>6</w:t>
    </w:r>
    <w:r>
      <w:rP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4D4FBE" w14:textId="77777777" w:rsidR="008934FE" w:rsidRDefault="008934FE" w:rsidP="00B53644">
    <w:pPr>
      <w:pStyle w:val="Footer"/>
      <w:tabs>
        <w:tab w:val="clear" w:pos="4536"/>
      </w:tabs>
    </w:pPr>
    <w:r>
      <w:rPr>
        <w:sz w:val="14"/>
      </w:rPr>
      <w:t>Form 41-14-</w:t>
    </w:r>
    <w:r w:rsidR="00886E4D">
      <w:rPr>
        <w:sz w:val="14"/>
      </w:rPr>
      <w:t>4</w:t>
    </w:r>
    <w:r>
      <w:rPr>
        <w:sz w:val="14"/>
      </w:rPr>
      <w:t>-en</w:t>
    </w:r>
    <w:r>
      <w:rPr>
        <w:sz w:val="13"/>
      </w:rPr>
      <w:tab/>
    </w:r>
    <w:r w:rsidRPr="006902D2">
      <w:fldChar w:fldCharType="begin"/>
    </w:r>
    <w:r w:rsidRPr="006902D2">
      <w:instrText xml:space="preserve"> PAGE  \* Arabic  \* MERGEFORMAT </w:instrText>
    </w:r>
    <w:r w:rsidRPr="006902D2">
      <w:fldChar w:fldCharType="separate"/>
    </w:r>
    <w:r w:rsidR="00443597">
      <w:rPr>
        <w:noProof/>
      </w:rPr>
      <w:t>1</w:t>
    </w:r>
    <w:r w:rsidRPr="006902D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6F1FDC" w14:textId="77777777" w:rsidR="00FB2E96" w:rsidRDefault="00FB2E96" w:rsidP="00E0714A">
      <w:r>
        <w:separator/>
      </w:r>
    </w:p>
    <w:p w14:paraId="2D262AA4" w14:textId="77777777" w:rsidR="00FB2E96" w:rsidRDefault="00FB2E96"/>
    <w:p w14:paraId="2C3EA8C0" w14:textId="77777777" w:rsidR="00FB2E96" w:rsidRDefault="00FB2E96"/>
  </w:footnote>
  <w:footnote w:type="continuationSeparator" w:id="0">
    <w:p w14:paraId="7BE8769D" w14:textId="77777777" w:rsidR="00FB2E96" w:rsidRDefault="00FB2E96" w:rsidP="00E0714A">
      <w:r>
        <w:continuationSeparator/>
      </w:r>
    </w:p>
    <w:p w14:paraId="201B5EA5" w14:textId="77777777" w:rsidR="00FB2E96" w:rsidRDefault="00FB2E96"/>
    <w:p w14:paraId="550AB249" w14:textId="77777777" w:rsidR="00FB2E96" w:rsidRDefault="00FB2E96"/>
  </w:footnote>
  <w:footnote w:type="continuationNotice" w:id="1">
    <w:p w14:paraId="771FB5D6" w14:textId="77777777" w:rsidR="00FB2E96" w:rsidRDefault="00FB2E96">
      <w:pPr>
        <w:spacing w:after="0"/>
      </w:pPr>
    </w:p>
    <w:p w14:paraId="168FC83C" w14:textId="77777777" w:rsidR="00FB2E96" w:rsidRDefault="00FB2E96" w:rsidP="002A43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ayout w:type="fixed"/>
      <w:tblCellMar>
        <w:left w:w="0" w:type="dxa"/>
        <w:right w:w="0" w:type="dxa"/>
      </w:tblCellMar>
      <w:tblLook w:val="00A0" w:firstRow="1" w:lastRow="0" w:firstColumn="1" w:lastColumn="0" w:noHBand="0" w:noVBand="0"/>
    </w:tblPr>
    <w:tblGrid>
      <w:gridCol w:w="6097"/>
      <w:gridCol w:w="2973"/>
    </w:tblGrid>
    <w:tr w:rsidR="008934FE" w:rsidRPr="00703906" w14:paraId="64CD17AB" w14:textId="77777777" w:rsidTr="00AD54AE">
      <w:tc>
        <w:tcPr>
          <w:tcW w:w="3361" w:type="pct"/>
          <w:vAlign w:val="bottom"/>
        </w:tcPr>
        <w:p w14:paraId="5409310A" w14:textId="77777777" w:rsidR="008934FE" w:rsidRPr="00B6676B" w:rsidRDefault="008934FE" w:rsidP="00D52801">
          <w:pPr>
            <w:pStyle w:val="Heading1"/>
            <w:spacing w:before="0" w:after="140"/>
            <w:rPr>
              <w:sz w:val="28"/>
              <w:lang w:eastAsia="de-DE"/>
            </w:rPr>
          </w:pPr>
        </w:p>
      </w:tc>
      <w:tc>
        <w:tcPr>
          <w:tcW w:w="1639" w:type="pct"/>
        </w:tcPr>
        <w:p w14:paraId="7FAB2C3D" w14:textId="77777777" w:rsidR="008934FE" w:rsidRPr="00703906" w:rsidRDefault="008934FE" w:rsidP="005915AE">
          <w:pPr>
            <w:tabs>
              <w:tab w:val="right" w:pos="9356"/>
            </w:tabs>
            <w:spacing w:after="0"/>
            <w:rPr>
              <w:rFonts w:eastAsia="Times New Roman" w:cs="Times New Roman"/>
              <w:sz w:val="20"/>
              <w:szCs w:val="20"/>
            </w:rPr>
          </w:pPr>
          <w:r>
            <w:rPr>
              <w:noProof/>
              <w:sz w:val="20"/>
              <w:lang w:val="en-AU" w:eastAsia="en-AU"/>
            </w:rPr>
            <w:drawing>
              <wp:inline distT="0" distB="0" distL="0" distR="0" wp14:anchorId="032449CF" wp14:editId="22303BE1">
                <wp:extent cx="1882800" cy="784776"/>
                <wp:effectExtent l="0" t="0" r="3175" b="0"/>
                <wp:docPr id="2131164640"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
                          <a:extLst>
                            <a:ext uri="{28A0092B-C50C-407E-A947-70E740481C1C}">
                              <a14:useLocalDpi xmlns:a14="http://schemas.microsoft.com/office/drawing/2010/main" val="0"/>
                            </a:ext>
                          </a:extLst>
                        </a:blip>
                        <a:stretch>
                          <a:fillRect/>
                        </a:stretch>
                      </pic:blipFill>
                      <pic:spPr>
                        <a:xfrm>
                          <a:off x="0" y="0"/>
                          <a:ext cx="1882800" cy="784776"/>
                        </a:xfrm>
                        <a:prstGeom prst="rect">
                          <a:avLst/>
                        </a:prstGeom>
                      </pic:spPr>
                    </pic:pic>
                  </a:graphicData>
                </a:graphic>
              </wp:inline>
            </w:drawing>
          </w:r>
        </w:p>
      </w:tc>
    </w:tr>
  </w:tbl>
  <w:p w14:paraId="2B11F089" w14:textId="77777777" w:rsidR="008934FE" w:rsidRDefault="008934FE" w:rsidP="00B53644">
    <w:pP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ayout w:type="fixed"/>
      <w:tblCellMar>
        <w:left w:w="0" w:type="dxa"/>
        <w:right w:w="0" w:type="dxa"/>
      </w:tblCellMar>
      <w:tblLook w:val="00A0" w:firstRow="1" w:lastRow="0" w:firstColumn="1" w:lastColumn="0" w:noHBand="0" w:noVBand="0"/>
    </w:tblPr>
    <w:tblGrid>
      <w:gridCol w:w="6097"/>
      <w:gridCol w:w="2973"/>
    </w:tblGrid>
    <w:tr w:rsidR="008934FE" w:rsidRPr="00703906" w14:paraId="773AED1B" w14:textId="77777777" w:rsidTr="00AD54AE">
      <w:tc>
        <w:tcPr>
          <w:tcW w:w="3361" w:type="pct"/>
          <w:vAlign w:val="bottom"/>
        </w:tcPr>
        <w:p w14:paraId="2787BD53" w14:textId="77777777" w:rsidR="008934FE" w:rsidRPr="00B6676B" w:rsidRDefault="008934FE" w:rsidP="000F273F">
          <w:pPr>
            <w:pStyle w:val="Heading1"/>
            <w:spacing w:before="0" w:after="140"/>
            <w:rPr>
              <w:sz w:val="28"/>
            </w:rPr>
          </w:pPr>
          <w:r>
            <w:rPr>
              <w:sz w:val="28"/>
            </w:rPr>
            <w:t xml:space="preserve">Terms of reference (ToRs) for the procurement of services below the </w:t>
          </w:r>
          <w:r w:rsidR="00777E50">
            <w:rPr>
              <w:sz w:val="28"/>
            </w:rPr>
            <w:br/>
          </w:r>
          <w:r>
            <w:rPr>
              <w:sz w:val="28"/>
            </w:rPr>
            <w:t>EU threshold</w:t>
          </w:r>
        </w:p>
      </w:tc>
      <w:tc>
        <w:tcPr>
          <w:tcW w:w="1639" w:type="pct"/>
        </w:tcPr>
        <w:p w14:paraId="1D76F252" w14:textId="77777777" w:rsidR="008934FE" w:rsidRPr="00703906" w:rsidRDefault="008934FE" w:rsidP="005915AE">
          <w:pPr>
            <w:tabs>
              <w:tab w:val="right" w:pos="9356"/>
            </w:tabs>
            <w:spacing w:after="0"/>
            <w:rPr>
              <w:rFonts w:eastAsia="Times New Roman" w:cs="Times New Roman"/>
              <w:sz w:val="20"/>
              <w:szCs w:val="20"/>
            </w:rPr>
          </w:pPr>
          <w:r>
            <w:rPr>
              <w:noProof/>
              <w:sz w:val="20"/>
              <w:lang w:val="en-AU" w:eastAsia="en-AU"/>
            </w:rPr>
            <w:drawing>
              <wp:inline distT="0" distB="0" distL="0" distR="0" wp14:anchorId="2F75EAA1" wp14:editId="59B6DC55">
                <wp:extent cx="1882800" cy="784776"/>
                <wp:effectExtent l="0" t="0" r="3175" b="0"/>
                <wp:docPr id="178048422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
                          <a:extLst>
                            <a:ext uri="{28A0092B-C50C-407E-A947-70E740481C1C}">
                              <a14:useLocalDpi xmlns:a14="http://schemas.microsoft.com/office/drawing/2010/main" val="0"/>
                            </a:ext>
                          </a:extLst>
                        </a:blip>
                        <a:stretch>
                          <a:fillRect/>
                        </a:stretch>
                      </pic:blipFill>
                      <pic:spPr>
                        <a:xfrm>
                          <a:off x="0" y="0"/>
                          <a:ext cx="1882800" cy="784776"/>
                        </a:xfrm>
                        <a:prstGeom prst="rect">
                          <a:avLst/>
                        </a:prstGeom>
                      </pic:spPr>
                    </pic:pic>
                  </a:graphicData>
                </a:graphic>
              </wp:inline>
            </w:drawing>
          </w:r>
        </w:p>
      </w:tc>
    </w:tr>
  </w:tbl>
  <w:p w14:paraId="2AA7234A" w14:textId="77777777" w:rsidR="008934FE" w:rsidRDefault="008934FE" w:rsidP="002A43F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D4833"/>
    <w:multiLevelType w:val="hybridMultilevel"/>
    <w:tmpl w:val="2F86857E"/>
    <w:lvl w:ilvl="0" w:tplc="04070001">
      <w:start w:val="1"/>
      <w:numFmt w:val="bullet"/>
      <w:lvlText w:val=""/>
      <w:lvlJc w:val="left"/>
      <w:pPr>
        <w:ind w:left="425" w:hanging="425"/>
      </w:pPr>
      <w:rPr>
        <w:rFonts w:ascii="Symbol" w:hAnsi="Symbol" w:hint="default"/>
      </w:rPr>
    </w:lvl>
    <w:lvl w:ilvl="1" w:tplc="04070001">
      <w:start w:val="1"/>
      <w:numFmt w:val="bullet"/>
      <w:lvlText w:val=""/>
      <w:lvlJc w:val="left"/>
      <w:pPr>
        <w:ind w:left="425" w:hanging="425"/>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0F73C17"/>
    <w:multiLevelType w:val="hybridMultilevel"/>
    <w:tmpl w:val="5BA0807E"/>
    <w:lvl w:ilvl="0" w:tplc="0407000F">
      <w:start w:val="1"/>
      <w:numFmt w:val="decimal"/>
      <w:lvlText w:val="%1."/>
      <w:lvlJc w:val="left"/>
      <w:pPr>
        <w:ind w:left="425" w:hanging="425"/>
      </w:pPr>
      <w:rPr>
        <w:rFonts w:hint="default"/>
      </w:rPr>
    </w:lvl>
    <w:lvl w:ilvl="1" w:tplc="04070001">
      <w:start w:val="1"/>
      <w:numFmt w:val="bullet"/>
      <w:lvlText w:val=""/>
      <w:lvlJc w:val="left"/>
      <w:pPr>
        <w:ind w:left="425" w:hanging="425"/>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51C430E"/>
    <w:multiLevelType w:val="hybridMultilevel"/>
    <w:tmpl w:val="5E229F78"/>
    <w:lvl w:ilvl="0" w:tplc="272C2E36">
      <w:start w:val="9"/>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ADC563D"/>
    <w:multiLevelType w:val="hybridMultilevel"/>
    <w:tmpl w:val="F63CE0D8"/>
    <w:lvl w:ilvl="0" w:tplc="0262E752">
      <w:start w:val="1"/>
      <w:numFmt w:val="decimal"/>
      <w:lvlText w:val="%1."/>
      <w:lvlJc w:val="left"/>
      <w:pPr>
        <w:ind w:left="720" w:hanging="360"/>
      </w:pPr>
      <w:rPr>
        <w:rFonts w:hint="default"/>
        <w:b/>
        <w:i w:val="0"/>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2A739F8"/>
    <w:multiLevelType w:val="hybridMultilevel"/>
    <w:tmpl w:val="345882E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31E0E89"/>
    <w:multiLevelType w:val="hybridMultilevel"/>
    <w:tmpl w:val="4F246FC6"/>
    <w:lvl w:ilvl="0" w:tplc="F564C6E8">
      <w:start w:val="1"/>
      <w:numFmt w:val="bullet"/>
      <w:lvlText w:val="-"/>
      <w:lvlJc w:val="left"/>
      <w:pPr>
        <w:ind w:left="720" w:hanging="363"/>
      </w:pPr>
      <w:rPr>
        <w:rFonts w:ascii="Arial" w:eastAsiaTheme="minorHAnsi" w:hAnsi="Arial" w:hint="default"/>
      </w:rPr>
    </w:lvl>
    <w:lvl w:ilvl="1" w:tplc="04070001">
      <w:start w:val="1"/>
      <w:numFmt w:val="bullet"/>
      <w:lvlText w:val=""/>
      <w:lvlJc w:val="left"/>
      <w:pPr>
        <w:ind w:left="425" w:hanging="425"/>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5411AA1"/>
    <w:multiLevelType w:val="hybridMultilevel"/>
    <w:tmpl w:val="875C79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7582E90"/>
    <w:multiLevelType w:val="hybridMultilevel"/>
    <w:tmpl w:val="24F08742"/>
    <w:lvl w:ilvl="0" w:tplc="0407000F">
      <w:start w:val="1"/>
      <w:numFmt w:val="decimal"/>
      <w:lvlText w:val="%1."/>
      <w:lvlJc w:val="left"/>
      <w:pPr>
        <w:ind w:left="425" w:hanging="425"/>
      </w:pPr>
      <w:rPr>
        <w:rFonts w:hint="default"/>
      </w:rPr>
    </w:lvl>
    <w:lvl w:ilvl="1" w:tplc="04070001">
      <w:start w:val="1"/>
      <w:numFmt w:val="bullet"/>
      <w:lvlText w:val=""/>
      <w:lvlJc w:val="left"/>
      <w:pPr>
        <w:ind w:left="425" w:hanging="425"/>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9B730B2"/>
    <w:multiLevelType w:val="hybridMultilevel"/>
    <w:tmpl w:val="2F86857E"/>
    <w:lvl w:ilvl="0" w:tplc="04070001">
      <w:start w:val="1"/>
      <w:numFmt w:val="bullet"/>
      <w:lvlText w:val=""/>
      <w:lvlJc w:val="left"/>
      <w:pPr>
        <w:ind w:left="425" w:hanging="425"/>
      </w:pPr>
      <w:rPr>
        <w:rFonts w:ascii="Symbol" w:hAnsi="Symbol" w:hint="default"/>
      </w:rPr>
    </w:lvl>
    <w:lvl w:ilvl="1" w:tplc="04070001">
      <w:start w:val="1"/>
      <w:numFmt w:val="bullet"/>
      <w:lvlText w:val=""/>
      <w:lvlJc w:val="left"/>
      <w:pPr>
        <w:ind w:left="425" w:hanging="425"/>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C0766B9"/>
    <w:multiLevelType w:val="hybridMultilevel"/>
    <w:tmpl w:val="2F86857E"/>
    <w:lvl w:ilvl="0" w:tplc="04070001">
      <w:start w:val="1"/>
      <w:numFmt w:val="bullet"/>
      <w:lvlText w:val=""/>
      <w:lvlJc w:val="left"/>
      <w:pPr>
        <w:ind w:left="425" w:hanging="425"/>
      </w:pPr>
      <w:rPr>
        <w:rFonts w:ascii="Symbol" w:hAnsi="Symbol" w:hint="default"/>
      </w:rPr>
    </w:lvl>
    <w:lvl w:ilvl="1" w:tplc="04070001">
      <w:start w:val="1"/>
      <w:numFmt w:val="bullet"/>
      <w:lvlText w:val=""/>
      <w:lvlJc w:val="left"/>
      <w:pPr>
        <w:ind w:left="425" w:hanging="425"/>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1DB7A65"/>
    <w:multiLevelType w:val="multilevel"/>
    <w:tmpl w:val="D8C46628"/>
    <w:lvl w:ilvl="0">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380B7D6"/>
    <w:multiLevelType w:val="hybridMultilevel"/>
    <w:tmpl w:val="93522DBA"/>
    <w:lvl w:ilvl="0" w:tplc="9170DA4A">
      <w:start w:val="1"/>
      <w:numFmt w:val="bullet"/>
      <w:lvlText w:val=""/>
      <w:lvlJc w:val="left"/>
      <w:pPr>
        <w:ind w:left="720" w:hanging="360"/>
      </w:pPr>
      <w:rPr>
        <w:rFonts w:ascii="Symbol" w:hAnsi="Symbol" w:hint="default"/>
      </w:rPr>
    </w:lvl>
    <w:lvl w:ilvl="1" w:tplc="E96EB496">
      <w:start w:val="1"/>
      <w:numFmt w:val="bullet"/>
      <w:lvlText w:val="·"/>
      <w:lvlJc w:val="left"/>
      <w:pPr>
        <w:ind w:left="1440" w:hanging="360"/>
      </w:pPr>
      <w:rPr>
        <w:rFonts w:ascii="Symbol" w:hAnsi="Symbol" w:hint="default"/>
      </w:rPr>
    </w:lvl>
    <w:lvl w:ilvl="2" w:tplc="66EA84C6">
      <w:start w:val="1"/>
      <w:numFmt w:val="bullet"/>
      <w:lvlText w:val=""/>
      <w:lvlJc w:val="left"/>
      <w:pPr>
        <w:ind w:left="2160" w:hanging="360"/>
      </w:pPr>
      <w:rPr>
        <w:rFonts w:ascii="Wingdings" w:hAnsi="Wingdings" w:hint="default"/>
      </w:rPr>
    </w:lvl>
    <w:lvl w:ilvl="3" w:tplc="210E72C0">
      <w:start w:val="1"/>
      <w:numFmt w:val="bullet"/>
      <w:lvlText w:val=""/>
      <w:lvlJc w:val="left"/>
      <w:pPr>
        <w:ind w:left="2880" w:hanging="360"/>
      </w:pPr>
      <w:rPr>
        <w:rFonts w:ascii="Symbol" w:hAnsi="Symbol" w:hint="default"/>
      </w:rPr>
    </w:lvl>
    <w:lvl w:ilvl="4" w:tplc="B382035C">
      <w:start w:val="1"/>
      <w:numFmt w:val="bullet"/>
      <w:lvlText w:val="o"/>
      <w:lvlJc w:val="left"/>
      <w:pPr>
        <w:ind w:left="3600" w:hanging="360"/>
      </w:pPr>
      <w:rPr>
        <w:rFonts w:ascii="Courier New" w:hAnsi="Courier New" w:hint="default"/>
      </w:rPr>
    </w:lvl>
    <w:lvl w:ilvl="5" w:tplc="2C1E0104">
      <w:start w:val="1"/>
      <w:numFmt w:val="bullet"/>
      <w:lvlText w:val=""/>
      <w:lvlJc w:val="left"/>
      <w:pPr>
        <w:ind w:left="4320" w:hanging="360"/>
      </w:pPr>
      <w:rPr>
        <w:rFonts w:ascii="Wingdings" w:hAnsi="Wingdings" w:hint="default"/>
      </w:rPr>
    </w:lvl>
    <w:lvl w:ilvl="6" w:tplc="5F5252CC">
      <w:start w:val="1"/>
      <w:numFmt w:val="bullet"/>
      <w:lvlText w:val=""/>
      <w:lvlJc w:val="left"/>
      <w:pPr>
        <w:ind w:left="5040" w:hanging="360"/>
      </w:pPr>
      <w:rPr>
        <w:rFonts w:ascii="Symbol" w:hAnsi="Symbol" w:hint="default"/>
      </w:rPr>
    </w:lvl>
    <w:lvl w:ilvl="7" w:tplc="EC2CE29A">
      <w:start w:val="1"/>
      <w:numFmt w:val="bullet"/>
      <w:lvlText w:val="o"/>
      <w:lvlJc w:val="left"/>
      <w:pPr>
        <w:ind w:left="5760" w:hanging="360"/>
      </w:pPr>
      <w:rPr>
        <w:rFonts w:ascii="Courier New" w:hAnsi="Courier New" w:hint="default"/>
      </w:rPr>
    </w:lvl>
    <w:lvl w:ilvl="8" w:tplc="E83A7628">
      <w:start w:val="1"/>
      <w:numFmt w:val="bullet"/>
      <w:lvlText w:val=""/>
      <w:lvlJc w:val="left"/>
      <w:pPr>
        <w:ind w:left="6480" w:hanging="360"/>
      </w:pPr>
      <w:rPr>
        <w:rFonts w:ascii="Wingdings" w:hAnsi="Wingdings" w:hint="default"/>
      </w:rPr>
    </w:lvl>
  </w:abstractNum>
  <w:abstractNum w:abstractNumId="12" w15:restartNumberingAfterBreak="0">
    <w:nsid w:val="2A7A467F"/>
    <w:multiLevelType w:val="hybridMultilevel"/>
    <w:tmpl w:val="2F86857E"/>
    <w:lvl w:ilvl="0" w:tplc="04070001">
      <w:start w:val="1"/>
      <w:numFmt w:val="bullet"/>
      <w:lvlText w:val=""/>
      <w:lvlJc w:val="left"/>
      <w:pPr>
        <w:ind w:left="425" w:hanging="425"/>
      </w:pPr>
      <w:rPr>
        <w:rFonts w:ascii="Symbol" w:hAnsi="Symbol" w:hint="default"/>
      </w:rPr>
    </w:lvl>
    <w:lvl w:ilvl="1" w:tplc="04070001">
      <w:start w:val="1"/>
      <w:numFmt w:val="bullet"/>
      <w:lvlText w:val=""/>
      <w:lvlJc w:val="left"/>
      <w:pPr>
        <w:ind w:left="425" w:hanging="425"/>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3405BB7"/>
    <w:multiLevelType w:val="hybridMultilevel"/>
    <w:tmpl w:val="2F86857E"/>
    <w:lvl w:ilvl="0" w:tplc="04070001">
      <w:start w:val="1"/>
      <w:numFmt w:val="bullet"/>
      <w:lvlText w:val=""/>
      <w:lvlJc w:val="left"/>
      <w:pPr>
        <w:ind w:left="425" w:hanging="425"/>
      </w:pPr>
      <w:rPr>
        <w:rFonts w:ascii="Symbol" w:hAnsi="Symbol" w:hint="default"/>
      </w:rPr>
    </w:lvl>
    <w:lvl w:ilvl="1" w:tplc="04070001">
      <w:start w:val="1"/>
      <w:numFmt w:val="bullet"/>
      <w:lvlText w:val=""/>
      <w:lvlJc w:val="left"/>
      <w:pPr>
        <w:ind w:left="425" w:hanging="425"/>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37E25FD"/>
    <w:multiLevelType w:val="hybridMultilevel"/>
    <w:tmpl w:val="2F86857E"/>
    <w:lvl w:ilvl="0" w:tplc="04070001">
      <w:start w:val="1"/>
      <w:numFmt w:val="bullet"/>
      <w:lvlText w:val=""/>
      <w:lvlJc w:val="left"/>
      <w:pPr>
        <w:ind w:left="425" w:hanging="425"/>
      </w:pPr>
      <w:rPr>
        <w:rFonts w:ascii="Symbol" w:hAnsi="Symbol" w:hint="default"/>
      </w:rPr>
    </w:lvl>
    <w:lvl w:ilvl="1" w:tplc="04070001">
      <w:start w:val="1"/>
      <w:numFmt w:val="bullet"/>
      <w:lvlText w:val=""/>
      <w:lvlJc w:val="left"/>
      <w:pPr>
        <w:ind w:left="425" w:hanging="425"/>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63B3DCA"/>
    <w:multiLevelType w:val="hybridMultilevel"/>
    <w:tmpl w:val="65247F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67E4CE6"/>
    <w:multiLevelType w:val="hybridMultilevel"/>
    <w:tmpl w:val="9B06B344"/>
    <w:lvl w:ilvl="0" w:tplc="8CAE533A">
      <w:start w:val="1"/>
      <w:numFmt w:val="decimal"/>
      <w:lvlText w:val="%1."/>
      <w:lvlJc w:val="left"/>
      <w:pPr>
        <w:ind w:left="425" w:hanging="425"/>
      </w:pPr>
      <w:rPr>
        <w:rFonts w:hint="default"/>
      </w:rPr>
    </w:lvl>
    <w:lvl w:ilvl="1" w:tplc="04070001">
      <w:start w:val="1"/>
      <w:numFmt w:val="bullet"/>
      <w:lvlText w:val=""/>
      <w:lvlJc w:val="left"/>
      <w:pPr>
        <w:ind w:left="425" w:hanging="425"/>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93A3644"/>
    <w:multiLevelType w:val="hybridMultilevel"/>
    <w:tmpl w:val="FA08B672"/>
    <w:lvl w:ilvl="0" w:tplc="D0E6A7BA">
      <w:numFmt w:val="bullet"/>
      <w:lvlText w:val="-"/>
      <w:lvlJc w:val="left"/>
      <w:pPr>
        <w:ind w:left="720" w:hanging="360"/>
      </w:pPr>
      <w:rPr>
        <w:rFonts w:ascii="Arial" w:eastAsiaTheme="minorHAnsi" w:hAnsi="Arial" w:cs="Arial" w:hint="default"/>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DA075AE"/>
    <w:multiLevelType w:val="hybridMultilevel"/>
    <w:tmpl w:val="5F30216A"/>
    <w:lvl w:ilvl="0" w:tplc="EE2A6364">
      <w:start w:val="1"/>
      <w:numFmt w:val="bullet"/>
      <w:lvlText w:val="-"/>
      <w:lvlJc w:val="left"/>
      <w:pPr>
        <w:ind w:left="720" w:hanging="363"/>
      </w:pPr>
      <w:rPr>
        <w:rFonts w:ascii="Arial" w:eastAsiaTheme="minorHAnsi" w:hAnsi="Arial" w:hint="default"/>
      </w:rPr>
    </w:lvl>
    <w:lvl w:ilvl="1" w:tplc="04070001">
      <w:start w:val="1"/>
      <w:numFmt w:val="bullet"/>
      <w:lvlText w:val=""/>
      <w:lvlJc w:val="left"/>
      <w:pPr>
        <w:ind w:left="425" w:hanging="425"/>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F475A32"/>
    <w:multiLevelType w:val="hybridMultilevel"/>
    <w:tmpl w:val="E25EE8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2BE2513"/>
    <w:multiLevelType w:val="hybridMultilevel"/>
    <w:tmpl w:val="12245B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4152599"/>
    <w:multiLevelType w:val="hybridMultilevel"/>
    <w:tmpl w:val="2F86857E"/>
    <w:lvl w:ilvl="0" w:tplc="04070001">
      <w:start w:val="1"/>
      <w:numFmt w:val="bullet"/>
      <w:lvlText w:val=""/>
      <w:lvlJc w:val="left"/>
      <w:pPr>
        <w:ind w:left="425" w:hanging="425"/>
      </w:pPr>
      <w:rPr>
        <w:rFonts w:ascii="Symbol" w:hAnsi="Symbol" w:hint="default"/>
      </w:rPr>
    </w:lvl>
    <w:lvl w:ilvl="1" w:tplc="04070001">
      <w:start w:val="1"/>
      <w:numFmt w:val="bullet"/>
      <w:lvlText w:val=""/>
      <w:lvlJc w:val="left"/>
      <w:pPr>
        <w:ind w:left="425" w:hanging="425"/>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2D175C2"/>
    <w:multiLevelType w:val="hybridMultilevel"/>
    <w:tmpl w:val="2F86857E"/>
    <w:lvl w:ilvl="0" w:tplc="04070001">
      <w:start w:val="1"/>
      <w:numFmt w:val="bullet"/>
      <w:lvlText w:val=""/>
      <w:lvlJc w:val="left"/>
      <w:pPr>
        <w:ind w:left="425" w:hanging="425"/>
      </w:pPr>
      <w:rPr>
        <w:rFonts w:ascii="Symbol" w:hAnsi="Symbol" w:hint="default"/>
      </w:rPr>
    </w:lvl>
    <w:lvl w:ilvl="1" w:tplc="04070001">
      <w:start w:val="1"/>
      <w:numFmt w:val="bullet"/>
      <w:lvlText w:val=""/>
      <w:lvlJc w:val="left"/>
      <w:pPr>
        <w:ind w:left="425" w:hanging="425"/>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6C873FE"/>
    <w:multiLevelType w:val="hybridMultilevel"/>
    <w:tmpl w:val="4ABEC1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B371DD1"/>
    <w:multiLevelType w:val="hybridMultilevel"/>
    <w:tmpl w:val="2F86857E"/>
    <w:lvl w:ilvl="0" w:tplc="04070001">
      <w:start w:val="1"/>
      <w:numFmt w:val="bullet"/>
      <w:lvlText w:val=""/>
      <w:lvlJc w:val="left"/>
      <w:pPr>
        <w:ind w:left="425" w:hanging="425"/>
      </w:pPr>
      <w:rPr>
        <w:rFonts w:ascii="Symbol" w:hAnsi="Symbol" w:hint="default"/>
      </w:rPr>
    </w:lvl>
    <w:lvl w:ilvl="1" w:tplc="04070001">
      <w:start w:val="1"/>
      <w:numFmt w:val="bullet"/>
      <w:lvlText w:val=""/>
      <w:lvlJc w:val="left"/>
      <w:pPr>
        <w:ind w:left="425" w:hanging="425"/>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BE108A3"/>
    <w:multiLevelType w:val="hybridMultilevel"/>
    <w:tmpl w:val="24F08742"/>
    <w:lvl w:ilvl="0" w:tplc="0407000F">
      <w:start w:val="1"/>
      <w:numFmt w:val="decimal"/>
      <w:lvlText w:val="%1."/>
      <w:lvlJc w:val="left"/>
      <w:pPr>
        <w:ind w:left="425" w:hanging="425"/>
      </w:pPr>
      <w:rPr>
        <w:rFonts w:hint="default"/>
      </w:rPr>
    </w:lvl>
    <w:lvl w:ilvl="1" w:tplc="04070001">
      <w:start w:val="1"/>
      <w:numFmt w:val="bullet"/>
      <w:lvlText w:val=""/>
      <w:lvlJc w:val="left"/>
      <w:pPr>
        <w:ind w:left="425" w:hanging="425"/>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DBD6452"/>
    <w:multiLevelType w:val="hybridMultilevel"/>
    <w:tmpl w:val="2F86857E"/>
    <w:lvl w:ilvl="0" w:tplc="04070001">
      <w:start w:val="1"/>
      <w:numFmt w:val="bullet"/>
      <w:lvlText w:val=""/>
      <w:lvlJc w:val="left"/>
      <w:pPr>
        <w:ind w:left="425" w:hanging="425"/>
      </w:pPr>
      <w:rPr>
        <w:rFonts w:ascii="Symbol" w:hAnsi="Symbol" w:hint="default"/>
      </w:rPr>
    </w:lvl>
    <w:lvl w:ilvl="1" w:tplc="04070001">
      <w:start w:val="1"/>
      <w:numFmt w:val="bullet"/>
      <w:lvlText w:val=""/>
      <w:lvlJc w:val="left"/>
      <w:pPr>
        <w:ind w:left="425" w:hanging="425"/>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19D0C71"/>
    <w:multiLevelType w:val="hybridMultilevel"/>
    <w:tmpl w:val="6EBA6D06"/>
    <w:lvl w:ilvl="0" w:tplc="C834FBAA">
      <w:start w:val="1"/>
      <w:numFmt w:val="bullet"/>
      <w:lvlText w:val="-"/>
      <w:lvlJc w:val="left"/>
      <w:pPr>
        <w:ind w:left="720" w:hanging="363"/>
      </w:pPr>
      <w:rPr>
        <w:rFonts w:ascii="Arial" w:eastAsiaTheme="minorHAnsi" w:hAnsi="Arial" w:hint="default"/>
      </w:rPr>
    </w:lvl>
    <w:lvl w:ilvl="1" w:tplc="04070001">
      <w:start w:val="1"/>
      <w:numFmt w:val="bullet"/>
      <w:lvlText w:val=""/>
      <w:lvlJc w:val="left"/>
      <w:pPr>
        <w:ind w:left="425" w:hanging="425"/>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2551B43"/>
    <w:multiLevelType w:val="hybridMultilevel"/>
    <w:tmpl w:val="AD42507E"/>
    <w:lvl w:ilvl="0" w:tplc="E29E65F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29E148F"/>
    <w:multiLevelType w:val="hybridMultilevel"/>
    <w:tmpl w:val="DF86C8FA"/>
    <w:lvl w:ilvl="0" w:tplc="FFFFFFFF">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6B47588F"/>
    <w:multiLevelType w:val="hybridMultilevel"/>
    <w:tmpl w:val="6A0261D8"/>
    <w:lvl w:ilvl="0" w:tplc="04070001">
      <w:start w:val="1"/>
      <w:numFmt w:val="bullet"/>
      <w:lvlText w:val=""/>
      <w:lvlJc w:val="left"/>
      <w:pPr>
        <w:ind w:left="425" w:hanging="425"/>
      </w:pPr>
      <w:rPr>
        <w:rFonts w:ascii="Symbol" w:hAnsi="Symbol" w:hint="default"/>
      </w:rPr>
    </w:lvl>
    <w:lvl w:ilvl="1" w:tplc="04070001">
      <w:start w:val="1"/>
      <w:numFmt w:val="bullet"/>
      <w:lvlText w:val=""/>
      <w:lvlJc w:val="left"/>
      <w:pPr>
        <w:ind w:left="425" w:hanging="425"/>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6A14D23"/>
    <w:multiLevelType w:val="hybridMultilevel"/>
    <w:tmpl w:val="6FF6B722"/>
    <w:lvl w:ilvl="0" w:tplc="BAEA242A">
      <w:start w:val="1"/>
      <w:numFmt w:val="bullet"/>
      <w:lvlText w:val="-"/>
      <w:lvlJc w:val="left"/>
      <w:pPr>
        <w:ind w:left="720" w:hanging="363"/>
      </w:pPr>
      <w:rPr>
        <w:rFonts w:ascii="Arial" w:eastAsiaTheme="minorHAnsi" w:hAnsi="Arial" w:hint="default"/>
      </w:rPr>
    </w:lvl>
    <w:lvl w:ilvl="1" w:tplc="6910E0E6">
      <w:start w:val="1"/>
      <w:numFmt w:val="bullet"/>
      <w:lvlText w:val="-"/>
      <w:lvlJc w:val="left"/>
      <w:pPr>
        <w:ind w:left="720" w:hanging="363"/>
      </w:pPr>
      <w:rPr>
        <w:rFonts w:ascii="Arial" w:eastAsiaTheme="minorHAnsi" w:hAnsi="Aria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6B7EC43"/>
    <w:multiLevelType w:val="hybridMultilevel"/>
    <w:tmpl w:val="D19C03FE"/>
    <w:lvl w:ilvl="0" w:tplc="635C3548">
      <w:start w:val="1"/>
      <w:numFmt w:val="bullet"/>
      <w:lvlText w:val="·"/>
      <w:lvlJc w:val="left"/>
      <w:pPr>
        <w:ind w:left="360" w:hanging="360"/>
      </w:pPr>
      <w:rPr>
        <w:rFonts w:ascii="Symbol" w:hAnsi="Symbol" w:hint="default"/>
      </w:rPr>
    </w:lvl>
    <w:lvl w:ilvl="1" w:tplc="6E6A5300">
      <w:start w:val="1"/>
      <w:numFmt w:val="bullet"/>
      <w:lvlText w:val="o"/>
      <w:lvlJc w:val="left"/>
      <w:pPr>
        <w:ind w:left="1080" w:hanging="360"/>
      </w:pPr>
      <w:rPr>
        <w:rFonts w:ascii="Courier New" w:hAnsi="Courier New" w:hint="default"/>
      </w:rPr>
    </w:lvl>
    <w:lvl w:ilvl="2" w:tplc="9286A52E">
      <w:start w:val="1"/>
      <w:numFmt w:val="bullet"/>
      <w:lvlText w:val=""/>
      <w:lvlJc w:val="left"/>
      <w:pPr>
        <w:ind w:left="1800" w:hanging="360"/>
      </w:pPr>
      <w:rPr>
        <w:rFonts w:ascii="Wingdings" w:hAnsi="Wingdings" w:hint="default"/>
      </w:rPr>
    </w:lvl>
    <w:lvl w:ilvl="3" w:tplc="5E242460">
      <w:start w:val="1"/>
      <w:numFmt w:val="bullet"/>
      <w:lvlText w:val=""/>
      <w:lvlJc w:val="left"/>
      <w:pPr>
        <w:ind w:left="2520" w:hanging="360"/>
      </w:pPr>
      <w:rPr>
        <w:rFonts w:ascii="Symbol" w:hAnsi="Symbol" w:hint="default"/>
      </w:rPr>
    </w:lvl>
    <w:lvl w:ilvl="4" w:tplc="BDAE2DBC">
      <w:start w:val="1"/>
      <w:numFmt w:val="bullet"/>
      <w:lvlText w:val="o"/>
      <w:lvlJc w:val="left"/>
      <w:pPr>
        <w:ind w:left="3240" w:hanging="360"/>
      </w:pPr>
      <w:rPr>
        <w:rFonts w:ascii="Courier New" w:hAnsi="Courier New" w:hint="default"/>
      </w:rPr>
    </w:lvl>
    <w:lvl w:ilvl="5" w:tplc="CC8244D0">
      <w:start w:val="1"/>
      <w:numFmt w:val="bullet"/>
      <w:lvlText w:val=""/>
      <w:lvlJc w:val="left"/>
      <w:pPr>
        <w:ind w:left="3960" w:hanging="360"/>
      </w:pPr>
      <w:rPr>
        <w:rFonts w:ascii="Wingdings" w:hAnsi="Wingdings" w:hint="default"/>
      </w:rPr>
    </w:lvl>
    <w:lvl w:ilvl="6" w:tplc="586C9600">
      <w:start w:val="1"/>
      <w:numFmt w:val="bullet"/>
      <w:lvlText w:val=""/>
      <w:lvlJc w:val="left"/>
      <w:pPr>
        <w:ind w:left="4680" w:hanging="360"/>
      </w:pPr>
      <w:rPr>
        <w:rFonts w:ascii="Symbol" w:hAnsi="Symbol" w:hint="default"/>
      </w:rPr>
    </w:lvl>
    <w:lvl w:ilvl="7" w:tplc="1A602B0E">
      <w:start w:val="1"/>
      <w:numFmt w:val="bullet"/>
      <w:lvlText w:val="o"/>
      <w:lvlJc w:val="left"/>
      <w:pPr>
        <w:ind w:left="5400" w:hanging="360"/>
      </w:pPr>
      <w:rPr>
        <w:rFonts w:ascii="Courier New" w:hAnsi="Courier New" w:hint="default"/>
      </w:rPr>
    </w:lvl>
    <w:lvl w:ilvl="8" w:tplc="0240BEF2">
      <w:start w:val="1"/>
      <w:numFmt w:val="bullet"/>
      <w:lvlText w:val=""/>
      <w:lvlJc w:val="left"/>
      <w:pPr>
        <w:ind w:left="6120" w:hanging="360"/>
      </w:pPr>
      <w:rPr>
        <w:rFonts w:ascii="Wingdings" w:hAnsi="Wingdings" w:hint="default"/>
      </w:rPr>
    </w:lvl>
  </w:abstractNum>
  <w:abstractNum w:abstractNumId="33" w15:restartNumberingAfterBreak="0">
    <w:nsid w:val="78A22551"/>
    <w:multiLevelType w:val="hybridMultilevel"/>
    <w:tmpl w:val="2F86857E"/>
    <w:lvl w:ilvl="0" w:tplc="04070001">
      <w:start w:val="1"/>
      <w:numFmt w:val="bullet"/>
      <w:lvlText w:val=""/>
      <w:lvlJc w:val="left"/>
      <w:pPr>
        <w:ind w:left="425" w:hanging="425"/>
      </w:pPr>
      <w:rPr>
        <w:rFonts w:ascii="Symbol" w:hAnsi="Symbol" w:hint="default"/>
      </w:rPr>
    </w:lvl>
    <w:lvl w:ilvl="1" w:tplc="04070001">
      <w:start w:val="1"/>
      <w:numFmt w:val="bullet"/>
      <w:lvlText w:val=""/>
      <w:lvlJc w:val="left"/>
      <w:pPr>
        <w:ind w:left="425" w:hanging="425"/>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78B2048E"/>
    <w:multiLevelType w:val="hybridMultilevel"/>
    <w:tmpl w:val="BEDA30C6"/>
    <w:lvl w:ilvl="0" w:tplc="EF289788">
      <w:start w:val="1"/>
      <w:numFmt w:val="bullet"/>
      <w:lvlText w:val="-"/>
      <w:lvlJc w:val="left"/>
      <w:pPr>
        <w:ind w:left="720" w:hanging="363"/>
      </w:pPr>
      <w:rPr>
        <w:rFonts w:ascii="Arial" w:eastAsiaTheme="minorHAnsi" w:hAnsi="Arial" w:hint="default"/>
      </w:rPr>
    </w:lvl>
    <w:lvl w:ilvl="1" w:tplc="04070001">
      <w:start w:val="1"/>
      <w:numFmt w:val="bullet"/>
      <w:lvlText w:val=""/>
      <w:lvlJc w:val="left"/>
      <w:pPr>
        <w:ind w:left="425" w:hanging="425"/>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C9651B9"/>
    <w:multiLevelType w:val="hybridMultilevel"/>
    <w:tmpl w:val="3DC2A440"/>
    <w:lvl w:ilvl="0" w:tplc="281061D2">
      <w:start w:val="1"/>
      <w:numFmt w:val="bullet"/>
      <w:lvlText w:val="-"/>
      <w:lvlJc w:val="left"/>
      <w:pPr>
        <w:ind w:left="720" w:hanging="363"/>
      </w:pPr>
      <w:rPr>
        <w:rFonts w:ascii="Arial" w:eastAsiaTheme="minorHAnsi" w:hAnsi="Arial" w:hint="default"/>
      </w:rPr>
    </w:lvl>
    <w:lvl w:ilvl="1" w:tplc="04070001">
      <w:start w:val="1"/>
      <w:numFmt w:val="bullet"/>
      <w:lvlText w:val=""/>
      <w:lvlJc w:val="left"/>
      <w:pPr>
        <w:ind w:left="425" w:hanging="425"/>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E1B1719"/>
    <w:multiLevelType w:val="hybridMultilevel"/>
    <w:tmpl w:val="5BA0807E"/>
    <w:lvl w:ilvl="0" w:tplc="0407000F">
      <w:start w:val="1"/>
      <w:numFmt w:val="decimal"/>
      <w:lvlText w:val="%1."/>
      <w:lvlJc w:val="left"/>
      <w:pPr>
        <w:ind w:left="425" w:hanging="425"/>
      </w:pPr>
      <w:rPr>
        <w:rFonts w:hint="default"/>
      </w:rPr>
    </w:lvl>
    <w:lvl w:ilvl="1" w:tplc="04070001">
      <w:start w:val="1"/>
      <w:numFmt w:val="bullet"/>
      <w:lvlText w:val=""/>
      <w:lvlJc w:val="left"/>
      <w:pPr>
        <w:ind w:left="425" w:hanging="425"/>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63140933">
    <w:abstractNumId w:val="10"/>
  </w:num>
  <w:num w:numId="2" w16cid:durableId="1600606244">
    <w:abstractNumId w:val="36"/>
  </w:num>
  <w:num w:numId="3" w16cid:durableId="833182895">
    <w:abstractNumId w:val="1"/>
  </w:num>
  <w:num w:numId="4" w16cid:durableId="1636062540">
    <w:abstractNumId w:val="13"/>
  </w:num>
  <w:num w:numId="5" w16cid:durableId="42752602">
    <w:abstractNumId w:val="30"/>
  </w:num>
  <w:num w:numId="6" w16cid:durableId="383531978">
    <w:abstractNumId w:val="22"/>
  </w:num>
  <w:num w:numId="7" w16cid:durableId="1558980263">
    <w:abstractNumId w:val="25"/>
  </w:num>
  <w:num w:numId="8" w16cid:durableId="571428585">
    <w:abstractNumId w:val="12"/>
  </w:num>
  <w:num w:numId="9" w16cid:durableId="176235887">
    <w:abstractNumId w:val="26"/>
  </w:num>
  <w:num w:numId="10" w16cid:durableId="1120221186">
    <w:abstractNumId w:val="9"/>
  </w:num>
  <w:num w:numId="11" w16cid:durableId="843742687">
    <w:abstractNumId w:val="14"/>
  </w:num>
  <w:num w:numId="12" w16cid:durableId="305284066">
    <w:abstractNumId w:val="35"/>
  </w:num>
  <w:num w:numId="13" w16cid:durableId="1075204236">
    <w:abstractNumId w:val="5"/>
  </w:num>
  <w:num w:numId="14" w16cid:durableId="845092988">
    <w:abstractNumId w:val="18"/>
  </w:num>
  <w:num w:numId="15" w16cid:durableId="584994384">
    <w:abstractNumId w:val="34"/>
  </w:num>
  <w:num w:numId="16" w16cid:durableId="1363625328">
    <w:abstractNumId w:val="31"/>
  </w:num>
  <w:num w:numId="17" w16cid:durableId="1622150464">
    <w:abstractNumId w:val="27"/>
  </w:num>
  <w:num w:numId="18" w16cid:durableId="915407863">
    <w:abstractNumId w:val="24"/>
  </w:num>
  <w:num w:numId="19" w16cid:durableId="759645994">
    <w:abstractNumId w:val="8"/>
  </w:num>
  <w:num w:numId="20" w16cid:durableId="1632325542">
    <w:abstractNumId w:val="0"/>
  </w:num>
  <w:num w:numId="21" w16cid:durableId="1274752795">
    <w:abstractNumId w:val="33"/>
  </w:num>
  <w:num w:numId="22" w16cid:durableId="1419600312">
    <w:abstractNumId w:val="21"/>
  </w:num>
  <w:num w:numId="23" w16cid:durableId="1895508583">
    <w:abstractNumId w:val="28"/>
  </w:num>
  <w:num w:numId="24" w16cid:durableId="689991708">
    <w:abstractNumId w:val="17"/>
  </w:num>
  <w:num w:numId="25" w16cid:durableId="167721309">
    <w:abstractNumId w:val="16"/>
  </w:num>
  <w:num w:numId="26" w16cid:durableId="2064399266">
    <w:abstractNumId w:val="7"/>
  </w:num>
  <w:num w:numId="27" w16cid:durableId="2038967565">
    <w:abstractNumId w:val="2"/>
  </w:num>
  <w:num w:numId="28" w16cid:durableId="797190190">
    <w:abstractNumId w:val="3"/>
  </w:num>
  <w:num w:numId="29" w16cid:durableId="406339682">
    <w:abstractNumId w:val="11"/>
  </w:num>
  <w:num w:numId="30" w16cid:durableId="2079159631">
    <w:abstractNumId w:val="32"/>
  </w:num>
  <w:num w:numId="31" w16cid:durableId="862327125">
    <w:abstractNumId w:val="23"/>
  </w:num>
  <w:num w:numId="32" w16cid:durableId="1539079349">
    <w:abstractNumId w:val="6"/>
  </w:num>
  <w:num w:numId="33" w16cid:durableId="1111316273">
    <w:abstractNumId w:val="20"/>
  </w:num>
  <w:num w:numId="34" w16cid:durableId="363753737">
    <w:abstractNumId w:val="19"/>
  </w:num>
  <w:num w:numId="35" w16cid:durableId="86584751">
    <w:abstractNumId w:val="15"/>
  </w:num>
  <w:num w:numId="36" w16cid:durableId="1263028366">
    <w:abstractNumId w:val="4"/>
  </w:num>
  <w:num w:numId="37" w16cid:durableId="1026251431">
    <w:abstractNumId w:val="2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activeWritingStyle w:appName="MSWord" w:lang="de-DE" w:vendorID="64" w:dllVersion="6" w:nlCheck="1" w:checkStyle="0"/>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6" w:nlCheck="1" w:checkStyle="1"/>
  <w:activeWritingStyle w:appName="MSWord" w:lang="en-GB" w:vendorID="64" w:dllVersion="0" w:nlCheck="1" w:checkStyle="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9B9"/>
    <w:rsid w:val="00001E7E"/>
    <w:rsid w:val="00002D50"/>
    <w:rsid w:val="00004156"/>
    <w:rsid w:val="00004A34"/>
    <w:rsid w:val="00006580"/>
    <w:rsid w:val="00006F9E"/>
    <w:rsid w:val="00007158"/>
    <w:rsid w:val="000123FA"/>
    <w:rsid w:val="00012F11"/>
    <w:rsid w:val="00013ACB"/>
    <w:rsid w:val="00014220"/>
    <w:rsid w:val="000143A9"/>
    <w:rsid w:val="00016C83"/>
    <w:rsid w:val="000212CC"/>
    <w:rsid w:val="0002289A"/>
    <w:rsid w:val="000271C9"/>
    <w:rsid w:val="000309EA"/>
    <w:rsid w:val="000338FB"/>
    <w:rsid w:val="000345DC"/>
    <w:rsid w:val="00034B81"/>
    <w:rsid w:val="00035A49"/>
    <w:rsid w:val="0003643C"/>
    <w:rsid w:val="00036D68"/>
    <w:rsid w:val="00036EA7"/>
    <w:rsid w:val="000370F0"/>
    <w:rsid w:val="00037179"/>
    <w:rsid w:val="000407E6"/>
    <w:rsid w:val="000413DD"/>
    <w:rsid w:val="0004304D"/>
    <w:rsid w:val="000434CE"/>
    <w:rsid w:val="00045300"/>
    <w:rsid w:val="00047954"/>
    <w:rsid w:val="00050339"/>
    <w:rsid w:val="000508A6"/>
    <w:rsid w:val="00056767"/>
    <w:rsid w:val="000568C5"/>
    <w:rsid w:val="00056A0D"/>
    <w:rsid w:val="00057DB3"/>
    <w:rsid w:val="000602B2"/>
    <w:rsid w:val="00060702"/>
    <w:rsid w:val="00063135"/>
    <w:rsid w:val="00063314"/>
    <w:rsid w:val="00071EFB"/>
    <w:rsid w:val="000728DD"/>
    <w:rsid w:val="00072A14"/>
    <w:rsid w:val="000839D7"/>
    <w:rsid w:val="00084080"/>
    <w:rsid w:val="0008504A"/>
    <w:rsid w:val="000854B0"/>
    <w:rsid w:val="00090123"/>
    <w:rsid w:val="00092A35"/>
    <w:rsid w:val="000948B1"/>
    <w:rsid w:val="000A212F"/>
    <w:rsid w:val="000A3E8F"/>
    <w:rsid w:val="000A5419"/>
    <w:rsid w:val="000A5ACB"/>
    <w:rsid w:val="000B0943"/>
    <w:rsid w:val="000B185F"/>
    <w:rsid w:val="000B3B19"/>
    <w:rsid w:val="000B459A"/>
    <w:rsid w:val="000B49AA"/>
    <w:rsid w:val="000B7570"/>
    <w:rsid w:val="000C4BA2"/>
    <w:rsid w:val="000C66C1"/>
    <w:rsid w:val="000D199D"/>
    <w:rsid w:val="000D1C8B"/>
    <w:rsid w:val="000D2BD3"/>
    <w:rsid w:val="000D6320"/>
    <w:rsid w:val="000D6DE5"/>
    <w:rsid w:val="000D7093"/>
    <w:rsid w:val="000D753E"/>
    <w:rsid w:val="000E17B8"/>
    <w:rsid w:val="000E2119"/>
    <w:rsid w:val="000E2DEB"/>
    <w:rsid w:val="000E36EB"/>
    <w:rsid w:val="000E472C"/>
    <w:rsid w:val="000E476C"/>
    <w:rsid w:val="000E7C27"/>
    <w:rsid w:val="000F0D4B"/>
    <w:rsid w:val="000F273F"/>
    <w:rsid w:val="000F2805"/>
    <w:rsid w:val="000F3273"/>
    <w:rsid w:val="00101001"/>
    <w:rsid w:val="00102ED7"/>
    <w:rsid w:val="00105063"/>
    <w:rsid w:val="0010656C"/>
    <w:rsid w:val="00111290"/>
    <w:rsid w:val="00116941"/>
    <w:rsid w:val="00120B66"/>
    <w:rsid w:val="00122948"/>
    <w:rsid w:val="001261F8"/>
    <w:rsid w:val="001301FB"/>
    <w:rsid w:val="001304A3"/>
    <w:rsid w:val="00131996"/>
    <w:rsid w:val="00131DC3"/>
    <w:rsid w:val="001348D0"/>
    <w:rsid w:val="00134A22"/>
    <w:rsid w:val="00136D71"/>
    <w:rsid w:val="001375BB"/>
    <w:rsid w:val="001407CD"/>
    <w:rsid w:val="001422E5"/>
    <w:rsid w:val="0014340B"/>
    <w:rsid w:val="001437A5"/>
    <w:rsid w:val="001463B5"/>
    <w:rsid w:val="0015027D"/>
    <w:rsid w:val="00153730"/>
    <w:rsid w:val="00154E0D"/>
    <w:rsid w:val="0015515B"/>
    <w:rsid w:val="001555AB"/>
    <w:rsid w:val="00166FFC"/>
    <w:rsid w:val="0017039C"/>
    <w:rsid w:val="00173882"/>
    <w:rsid w:val="0018037D"/>
    <w:rsid w:val="00180E03"/>
    <w:rsid w:val="00184F8A"/>
    <w:rsid w:val="00185628"/>
    <w:rsid w:val="001935C5"/>
    <w:rsid w:val="0019484C"/>
    <w:rsid w:val="0019640D"/>
    <w:rsid w:val="001973B3"/>
    <w:rsid w:val="00197687"/>
    <w:rsid w:val="001A11F2"/>
    <w:rsid w:val="001A24BF"/>
    <w:rsid w:val="001A469A"/>
    <w:rsid w:val="001A74E0"/>
    <w:rsid w:val="001A78C9"/>
    <w:rsid w:val="001B17E7"/>
    <w:rsid w:val="001B4579"/>
    <w:rsid w:val="001C0EB5"/>
    <w:rsid w:val="001C16E1"/>
    <w:rsid w:val="001C1F14"/>
    <w:rsid w:val="001C46E0"/>
    <w:rsid w:val="001C749F"/>
    <w:rsid w:val="001C76AA"/>
    <w:rsid w:val="001D2107"/>
    <w:rsid w:val="001D374E"/>
    <w:rsid w:val="001D3D89"/>
    <w:rsid w:val="001D53A3"/>
    <w:rsid w:val="001D66F9"/>
    <w:rsid w:val="001E0C26"/>
    <w:rsid w:val="001E144E"/>
    <w:rsid w:val="001E33FE"/>
    <w:rsid w:val="001E4FC2"/>
    <w:rsid w:val="001F6895"/>
    <w:rsid w:val="002004AD"/>
    <w:rsid w:val="00202740"/>
    <w:rsid w:val="00202D3A"/>
    <w:rsid w:val="00206AC4"/>
    <w:rsid w:val="00210C08"/>
    <w:rsid w:val="00213577"/>
    <w:rsid w:val="00213CF0"/>
    <w:rsid w:val="00217377"/>
    <w:rsid w:val="002174DD"/>
    <w:rsid w:val="00217577"/>
    <w:rsid w:val="00217880"/>
    <w:rsid w:val="00220103"/>
    <w:rsid w:val="00220FD6"/>
    <w:rsid w:val="0022271C"/>
    <w:rsid w:val="00224251"/>
    <w:rsid w:val="002246EA"/>
    <w:rsid w:val="002267E9"/>
    <w:rsid w:val="00227C9D"/>
    <w:rsid w:val="002301BA"/>
    <w:rsid w:val="002321D0"/>
    <w:rsid w:val="00232B4B"/>
    <w:rsid w:val="002436F1"/>
    <w:rsid w:val="0024518E"/>
    <w:rsid w:val="00245431"/>
    <w:rsid w:val="00246847"/>
    <w:rsid w:val="00247BB5"/>
    <w:rsid w:val="00250A5C"/>
    <w:rsid w:val="00250BFE"/>
    <w:rsid w:val="0025205A"/>
    <w:rsid w:val="00252826"/>
    <w:rsid w:val="00255E57"/>
    <w:rsid w:val="00256AFA"/>
    <w:rsid w:val="00262757"/>
    <w:rsid w:val="00263CCD"/>
    <w:rsid w:val="00264AC0"/>
    <w:rsid w:val="002719FE"/>
    <w:rsid w:val="00271AA1"/>
    <w:rsid w:val="00271E94"/>
    <w:rsid w:val="002727F7"/>
    <w:rsid w:val="00272C33"/>
    <w:rsid w:val="00274610"/>
    <w:rsid w:val="00276243"/>
    <w:rsid w:val="00276575"/>
    <w:rsid w:val="0027677E"/>
    <w:rsid w:val="0028169B"/>
    <w:rsid w:val="00282B9E"/>
    <w:rsid w:val="00286B69"/>
    <w:rsid w:val="00286D14"/>
    <w:rsid w:val="0028712E"/>
    <w:rsid w:val="00291D5A"/>
    <w:rsid w:val="0029394B"/>
    <w:rsid w:val="00297C97"/>
    <w:rsid w:val="002A102D"/>
    <w:rsid w:val="002A4282"/>
    <w:rsid w:val="002A42EC"/>
    <w:rsid w:val="002A43F0"/>
    <w:rsid w:val="002A7BF3"/>
    <w:rsid w:val="002B062F"/>
    <w:rsid w:val="002B4395"/>
    <w:rsid w:val="002B48B7"/>
    <w:rsid w:val="002B51B2"/>
    <w:rsid w:val="002C1A2F"/>
    <w:rsid w:val="002D07B9"/>
    <w:rsid w:val="002D0F27"/>
    <w:rsid w:val="002D5309"/>
    <w:rsid w:val="002E0DCC"/>
    <w:rsid w:val="002E1BE7"/>
    <w:rsid w:val="002E58F7"/>
    <w:rsid w:val="002F0AE9"/>
    <w:rsid w:val="002F2360"/>
    <w:rsid w:val="002F304F"/>
    <w:rsid w:val="002F4A32"/>
    <w:rsid w:val="002F52B1"/>
    <w:rsid w:val="002F68DC"/>
    <w:rsid w:val="002F7914"/>
    <w:rsid w:val="00300697"/>
    <w:rsid w:val="0030370B"/>
    <w:rsid w:val="00311D17"/>
    <w:rsid w:val="00312415"/>
    <w:rsid w:val="003168D2"/>
    <w:rsid w:val="00316D51"/>
    <w:rsid w:val="0031705C"/>
    <w:rsid w:val="003177E8"/>
    <w:rsid w:val="00317A2F"/>
    <w:rsid w:val="00325297"/>
    <w:rsid w:val="00325404"/>
    <w:rsid w:val="00330897"/>
    <w:rsid w:val="00332464"/>
    <w:rsid w:val="00336C6B"/>
    <w:rsid w:val="00337876"/>
    <w:rsid w:val="00343AC1"/>
    <w:rsid w:val="003473E4"/>
    <w:rsid w:val="00347BE0"/>
    <w:rsid w:val="00351353"/>
    <w:rsid w:val="003518C6"/>
    <w:rsid w:val="003519A6"/>
    <w:rsid w:val="0035230A"/>
    <w:rsid w:val="00352962"/>
    <w:rsid w:val="00354A72"/>
    <w:rsid w:val="0035715F"/>
    <w:rsid w:val="003609A6"/>
    <w:rsid w:val="00366105"/>
    <w:rsid w:val="00372BB8"/>
    <w:rsid w:val="00375D70"/>
    <w:rsid w:val="00376A37"/>
    <w:rsid w:val="00377D14"/>
    <w:rsid w:val="003818D0"/>
    <w:rsid w:val="00382DB1"/>
    <w:rsid w:val="00383D58"/>
    <w:rsid w:val="00387923"/>
    <w:rsid w:val="00390473"/>
    <w:rsid w:val="00392EF2"/>
    <w:rsid w:val="003954A5"/>
    <w:rsid w:val="0039631E"/>
    <w:rsid w:val="003964A7"/>
    <w:rsid w:val="003977F3"/>
    <w:rsid w:val="00397DA3"/>
    <w:rsid w:val="003A1437"/>
    <w:rsid w:val="003B021F"/>
    <w:rsid w:val="003B306D"/>
    <w:rsid w:val="003B6611"/>
    <w:rsid w:val="003C5BE2"/>
    <w:rsid w:val="003C7562"/>
    <w:rsid w:val="003D022F"/>
    <w:rsid w:val="003D2CC9"/>
    <w:rsid w:val="003E127D"/>
    <w:rsid w:val="003E1B43"/>
    <w:rsid w:val="003E2891"/>
    <w:rsid w:val="003E29DA"/>
    <w:rsid w:val="003E3BBB"/>
    <w:rsid w:val="003E4814"/>
    <w:rsid w:val="003E5CAF"/>
    <w:rsid w:val="003F0562"/>
    <w:rsid w:val="003F0D18"/>
    <w:rsid w:val="003F174D"/>
    <w:rsid w:val="003F57AD"/>
    <w:rsid w:val="003F67B7"/>
    <w:rsid w:val="00400CCB"/>
    <w:rsid w:val="004012DB"/>
    <w:rsid w:val="00406DBB"/>
    <w:rsid w:val="00414452"/>
    <w:rsid w:val="00420445"/>
    <w:rsid w:val="00420E8E"/>
    <w:rsid w:val="00421048"/>
    <w:rsid w:val="00421919"/>
    <w:rsid w:val="00423B0A"/>
    <w:rsid w:val="00425666"/>
    <w:rsid w:val="004277D0"/>
    <w:rsid w:val="00430FFC"/>
    <w:rsid w:val="004324F1"/>
    <w:rsid w:val="00432930"/>
    <w:rsid w:val="00433ED0"/>
    <w:rsid w:val="004420F1"/>
    <w:rsid w:val="004422E4"/>
    <w:rsid w:val="00443597"/>
    <w:rsid w:val="004468CD"/>
    <w:rsid w:val="0045323B"/>
    <w:rsid w:val="00454030"/>
    <w:rsid w:val="00456031"/>
    <w:rsid w:val="004561DD"/>
    <w:rsid w:val="00461C69"/>
    <w:rsid w:val="00463ACE"/>
    <w:rsid w:val="0046486A"/>
    <w:rsid w:val="00466109"/>
    <w:rsid w:val="00470F4E"/>
    <w:rsid w:val="0047132B"/>
    <w:rsid w:val="00472FB4"/>
    <w:rsid w:val="004813D1"/>
    <w:rsid w:val="00482068"/>
    <w:rsid w:val="00483DA9"/>
    <w:rsid w:val="004842A1"/>
    <w:rsid w:val="004861B5"/>
    <w:rsid w:val="0048687C"/>
    <w:rsid w:val="00494F21"/>
    <w:rsid w:val="00495C36"/>
    <w:rsid w:val="00497D12"/>
    <w:rsid w:val="004A4180"/>
    <w:rsid w:val="004A610C"/>
    <w:rsid w:val="004A75FD"/>
    <w:rsid w:val="004B187C"/>
    <w:rsid w:val="004B1CFA"/>
    <w:rsid w:val="004B214D"/>
    <w:rsid w:val="004B3411"/>
    <w:rsid w:val="004B58D2"/>
    <w:rsid w:val="004C1A2C"/>
    <w:rsid w:val="004C2EE1"/>
    <w:rsid w:val="004C5496"/>
    <w:rsid w:val="004C556E"/>
    <w:rsid w:val="004C5F2E"/>
    <w:rsid w:val="004C7058"/>
    <w:rsid w:val="004D2EC8"/>
    <w:rsid w:val="004D3F9C"/>
    <w:rsid w:val="004D5EE2"/>
    <w:rsid w:val="004D6182"/>
    <w:rsid w:val="004E118E"/>
    <w:rsid w:val="004E3CC5"/>
    <w:rsid w:val="004E625C"/>
    <w:rsid w:val="004E6E31"/>
    <w:rsid w:val="004E747D"/>
    <w:rsid w:val="004F62AD"/>
    <w:rsid w:val="004F6B8C"/>
    <w:rsid w:val="00500961"/>
    <w:rsid w:val="00501474"/>
    <w:rsid w:val="00501F41"/>
    <w:rsid w:val="00503A69"/>
    <w:rsid w:val="00507850"/>
    <w:rsid w:val="005121D9"/>
    <w:rsid w:val="00513F61"/>
    <w:rsid w:val="005151D9"/>
    <w:rsid w:val="005173D6"/>
    <w:rsid w:val="00517F89"/>
    <w:rsid w:val="005213FA"/>
    <w:rsid w:val="00530343"/>
    <w:rsid w:val="0053227D"/>
    <w:rsid w:val="005348B2"/>
    <w:rsid w:val="005358D3"/>
    <w:rsid w:val="00535966"/>
    <w:rsid w:val="00541DE9"/>
    <w:rsid w:val="00550B38"/>
    <w:rsid w:val="0055216E"/>
    <w:rsid w:val="00553EB2"/>
    <w:rsid w:val="0055401F"/>
    <w:rsid w:val="00554D05"/>
    <w:rsid w:val="00556025"/>
    <w:rsid w:val="0055666B"/>
    <w:rsid w:val="00557465"/>
    <w:rsid w:val="00557FF6"/>
    <w:rsid w:val="00563689"/>
    <w:rsid w:val="005638E6"/>
    <w:rsid w:val="00566EFA"/>
    <w:rsid w:val="005709CD"/>
    <w:rsid w:val="00570B68"/>
    <w:rsid w:val="00574D8B"/>
    <w:rsid w:val="005752C3"/>
    <w:rsid w:val="00576B56"/>
    <w:rsid w:val="00582510"/>
    <w:rsid w:val="00582C44"/>
    <w:rsid w:val="00584E61"/>
    <w:rsid w:val="005872BE"/>
    <w:rsid w:val="00587A49"/>
    <w:rsid w:val="00590490"/>
    <w:rsid w:val="005915AE"/>
    <w:rsid w:val="005917A4"/>
    <w:rsid w:val="00594B78"/>
    <w:rsid w:val="005A14EF"/>
    <w:rsid w:val="005A1B82"/>
    <w:rsid w:val="005A236D"/>
    <w:rsid w:val="005A33DD"/>
    <w:rsid w:val="005A5E43"/>
    <w:rsid w:val="005A62FF"/>
    <w:rsid w:val="005B09AC"/>
    <w:rsid w:val="005B2AA7"/>
    <w:rsid w:val="005B3714"/>
    <w:rsid w:val="005B53B4"/>
    <w:rsid w:val="005B5606"/>
    <w:rsid w:val="005B58A0"/>
    <w:rsid w:val="005B615F"/>
    <w:rsid w:val="005B66CF"/>
    <w:rsid w:val="005B6A5F"/>
    <w:rsid w:val="005B6A73"/>
    <w:rsid w:val="005B79B8"/>
    <w:rsid w:val="005C200C"/>
    <w:rsid w:val="005C2FB0"/>
    <w:rsid w:val="005C3E48"/>
    <w:rsid w:val="005C4FB5"/>
    <w:rsid w:val="005C6F14"/>
    <w:rsid w:val="005C7E67"/>
    <w:rsid w:val="005D21D3"/>
    <w:rsid w:val="005D39B7"/>
    <w:rsid w:val="005E165E"/>
    <w:rsid w:val="005E4DDB"/>
    <w:rsid w:val="005E709B"/>
    <w:rsid w:val="005E7606"/>
    <w:rsid w:val="005F13DF"/>
    <w:rsid w:val="005F2A49"/>
    <w:rsid w:val="005F2EAB"/>
    <w:rsid w:val="00600E4D"/>
    <w:rsid w:val="006020C2"/>
    <w:rsid w:val="006035C9"/>
    <w:rsid w:val="00610265"/>
    <w:rsid w:val="00612F23"/>
    <w:rsid w:val="00613B77"/>
    <w:rsid w:val="00614240"/>
    <w:rsid w:val="00614E7C"/>
    <w:rsid w:val="006174BA"/>
    <w:rsid w:val="00620FB2"/>
    <w:rsid w:val="00623F5C"/>
    <w:rsid w:val="0062498B"/>
    <w:rsid w:val="00630733"/>
    <w:rsid w:val="006319B9"/>
    <w:rsid w:val="00632612"/>
    <w:rsid w:val="00632FD5"/>
    <w:rsid w:val="00635A47"/>
    <w:rsid w:val="006409EB"/>
    <w:rsid w:val="00643764"/>
    <w:rsid w:val="00643ACD"/>
    <w:rsid w:val="00643D5F"/>
    <w:rsid w:val="006458E3"/>
    <w:rsid w:val="00647234"/>
    <w:rsid w:val="00653D65"/>
    <w:rsid w:val="006549C4"/>
    <w:rsid w:val="0065624B"/>
    <w:rsid w:val="00656B38"/>
    <w:rsid w:val="00657329"/>
    <w:rsid w:val="00660CD8"/>
    <w:rsid w:val="0066224A"/>
    <w:rsid w:val="00665B80"/>
    <w:rsid w:val="00665C33"/>
    <w:rsid w:val="006670D1"/>
    <w:rsid w:val="00674B95"/>
    <w:rsid w:val="00676462"/>
    <w:rsid w:val="00681584"/>
    <w:rsid w:val="00681AE3"/>
    <w:rsid w:val="00683C4C"/>
    <w:rsid w:val="006842AD"/>
    <w:rsid w:val="00685FCD"/>
    <w:rsid w:val="0068790D"/>
    <w:rsid w:val="006902D2"/>
    <w:rsid w:val="00691139"/>
    <w:rsid w:val="006A18CB"/>
    <w:rsid w:val="006A2AAD"/>
    <w:rsid w:val="006A2F70"/>
    <w:rsid w:val="006A7786"/>
    <w:rsid w:val="006B38B4"/>
    <w:rsid w:val="006C0731"/>
    <w:rsid w:val="006C338B"/>
    <w:rsid w:val="006C3F7A"/>
    <w:rsid w:val="006C54C6"/>
    <w:rsid w:val="006D0720"/>
    <w:rsid w:val="006D0DFA"/>
    <w:rsid w:val="006D149A"/>
    <w:rsid w:val="006D1B21"/>
    <w:rsid w:val="006D21F0"/>
    <w:rsid w:val="006D31DA"/>
    <w:rsid w:val="006E1B6A"/>
    <w:rsid w:val="006E289B"/>
    <w:rsid w:val="006E4B7F"/>
    <w:rsid w:val="006E7656"/>
    <w:rsid w:val="006E7C8F"/>
    <w:rsid w:val="006F1C0F"/>
    <w:rsid w:val="007004B9"/>
    <w:rsid w:val="00700710"/>
    <w:rsid w:val="00701CE7"/>
    <w:rsid w:val="00703906"/>
    <w:rsid w:val="007043DE"/>
    <w:rsid w:val="007072BB"/>
    <w:rsid w:val="00710819"/>
    <w:rsid w:val="007144DD"/>
    <w:rsid w:val="00716AA5"/>
    <w:rsid w:val="00722B9D"/>
    <w:rsid w:val="00732044"/>
    <w:rsid w:val="00734100"/>
    <w:rsid w:val="00740428"/>
    <w:rsid w:val="00743104"/>
    <w:rsid w:val="00746006"/>
    <w:rsid w:val="00750E76"/>
    <w:rsid w:val="00751CDB"/>
    <w:rsid w:val="007542A0"/>
    <w:rsid w:val="00754CF6"/>
    <w:rsid w:val="00755149"/>
    <w:rsid w:val="00755E48"/>
    <w:rsid w:val="007566DA"/>
    <w:rsid w:val="0076460E"/>
    <w:rsid w:val="007646C6"/>
    <w:rsid w:val="007649D0"/>
    <w:rsid w:val="00765293"/>
    <w:rsid w:val="00770129"/>
    <w:rsid w:val="0077088B"/>
    <w:rsid w:val="007708BF"/>
    <w:rsid w:val="00772056"/>
    <w:rsid w:val="007759E3"/>
    <w:rsid w:val="0077654F"/>
    <w:rsid w:val="00777255"/>
    <w:rsid w:val="00777E06"/>
    <w:rsid w:val="00777E50"/>
    <w:rsid w:val="00780319"/>
    <w:rsid w:val="007816B6"/>
    <w:rsid w:val="0078385E"/>
    <w:rsid w:val="00784729"/>
    <w:rsid w:val="007848FE"/>
    <w:rsid w:val="007857E5"/>
    <w:rsid w:val="00786DC5"/>
    <w:rsid w:val="00790D47"/>
    <w:rsid w:val="00791EC0"/>
    <w:rsid w:val="00794E10"/>
    <w:rsid w:val="0079526F"/>
    <w:rsid w:val="007A1B1E"/>
    <w:rsid w:val="007A23D2"/>
    <w:rsid w:val="007A2EB8"/>
    <w:rsid w:val="007A4A48"/>
    <w:rsid w:val="007A613C"/>
    <w:rsid w:val="007B0887"/>
    <w:rsid w:val="007B0D93"/>
    <w:rsid w:val="007B4941"/>
    <w:rsid w:val="007B540E"/>
    <w:rsid w:val="007B6255"/>
    <w:rsid w:val="007B7F40"/>
    <w:rsid w:val="007C2C12"/>
    <w:rsid w:val="007C3884"/>
    <w:rsid w:val="007C3CEC"/>
    <w:rsid w:val="007C59E3"/>
    <w:rsid w:val="007C79C8"/>
    <w:rsid w:val="007D595E"/>
    <w:rsid w:val="007D70EB"/>
    <w:rsid w:val="007D71C2"/>
    <w:rsid w:val="007E0C88"/>
    <w:rsid w:val="007E5AC5"/>
    <w:rsid w:val="007E6E6A"/>
    <w:rsid w:val="007E7263"/>
    <w:rsid w:val="007F0D7C"/>
    <w:rsid w:val="007F3FDA"/>
    <w:rsid w:val="007F46FC"/>
    <w:rsid w:val="007F4F68"/>
    <w:rsid w:val="0080067F"/>
    <w:rsid w:val="00800CAB"/>
    <w:rsid w:val="00801C22"/>
    <w:rsid w:val="00805CDB"/>
    <w:rsid w:val="0080748B"/>
    <w:rsid w:val="00807E88"/>
    <w:rsid w:val="0081205E"/>
    <w:rsid w:val="008133DA"/>
    <w:rsid w:val="008157B8"/>
    <w:rsid w:val="008237D6"/>
    <w:rsid w:val="00824E2F"/>
    <w:rsid w:val="008261A9"/>
    <w:rsid w:val="00826527"/>
    <w:rsid w:val="00826BB4"/>
    <w:rsid w:val="00831997"/>
    <w:rsid w:val="00833C0E"/>
    <w:rsid w:val="008357CA"/>
    <w:rsid w:val="00836BA5"/>
    <w:rsid w:val="00836F83"/>
    <w:rsid w:val="0084039D"/>
    <w:rsid w:val="008406B7"/>
    <w:rsid w:val="00844ED0"/>
    <w:rsid w:val="0084594A"/>
    <w:rsid w:val="00845CDC"/>
    <w:rsid w:val="008460FC"/>
    <w:rsid w:val="00847139"/>
    <w:rsid w:val="00851495"/>
    <w:rsid w:val="0085161E"/>
    <w:rsid w:val="00860559"/>
    <w:rsid w:val="00871CA4"/>
    <w:rsid w:val="00872500"/>
    <w:rsid w:val="00872BD0"/>
    <w:rsid w:val="00872CFB"/>
    <w:rsid w:val="00874EDA"/>
    <w:rsid w:val="00875896"/>
    <w:rsid w:val="00880075"/>
    <w:rsid w:val="0088162D"/>
    <w:rsid w:val="0088386A"/>
    <w:rsid w:val="00886E4D"/>
    <w:rsid w:val="00892942"/>
    <w:rsid w:val="008934FE"/>
    <w:rsid w:val="00895067"/>
    <w:rsid w:val="00895E9F"/>
    <w:rsid w:val="0089ED59"/>
    <w:rsid w:val="008A0593"/>
    <w:rsid w:val="008A3D4E"/>
    <w:rsid w:val="008B0025"/>
    <w:rsid w:val="008B1B3B"/>
    <w:rsid w:val="008B44BF"/>
    <w:rsid w:val="008B44C5"/>
    <w:rsid w:val="008B535F"/>
    <w:rsid w:val="008C0117"/>
    <w:rsid w:val="008C05C5"/>
    <w:rsid w:val="008C0F45"/>
    <w:rsid w:val="008C196C"/>
    <w:rsid w:val="008D1562"/>
    <w:rsid w:val="008D2802"/>
    <w:rsid w:val="008D587A"/>
    <w:rsid w:val="008E255C"/>
    <w:rsid w:val="008E3CD5"/>
    <w:rsid w:val="008F0375"/>
    <w:rsid w:val="008F1ACC"/>
    <w:rsid w:val="008F291D"/>
    <w:rsid w:val="008F30EA"/>
    <w:rsid w:val="008F4CAE"/>
    <w:rsid w:val="008F53DE"/>
    <w:rsid w:val="009038D7"/>
    <w:rsid w:val="00903A4B"/>
    <w:rsid w:val="0090643A"/>
    <w:rsid w:val="0090763A"/>
    <w:rsid w:val="00907777"/>
    <w:rsid w:val="00910729"/>
    <w:rsid w:val="00910A69"/>
    <w:rsid w:val="00910E4B"/>
    <w:rsid w:val="009117D0"/>
    <w:rsid w:val="00912F7C"/>
    <w:rsid w:val="00913961"/>
    <w:rsid w:val="009154B2"/>
    <w:rsid w:val="00915A88"/>
    <w:rsid w:val="00916DE9"/>
    <w:rsid w:val="00922747"/>
    <w:rsid w:val="009242F6"/>
    <w:rsid w:val="00924703"/>
    <w:rsid w:val="009247ED"/>
    <w:rsid w:val="00925C8F"/>
    <w:rsid w:val="00927159"/>
    <w:rsid w:val="009271E4"/>
    <w:rsid w:val="009273A4"/>
    <w:rsid w:val="009317D9"/>
    <w:rsid w:val="00931CD6"/>
    <w:rsid w:val="009333D5"/>
    <w:rsid w:val="00935189"/>
    <w:rsid w:val="00935CF7"/>
    <w:rsid w:val="009374FF"/>
    <w:rsid w:val="00940CFE"/>
    <w:rsid w:val="00945176"/>
    <w:rsid w:val="00945641"/>
    <w:rsid w:val="00946A22"/>
    <w:rsid w:val="00950218"/>
    <w:rsid w:val="009524DA"/>
    <w:rsid w:val="00953833"/>
    <w:rsid w:val="00953AE1"/>
    <w:rsid w:val="00954D10"/>
    <w:rsid w:val="00961B28"/>
    <w:rsid w:val="0096202B"/>
    <w:rsid w:val="009642DB"/>
    <w:rsid w:val="00965058"/>
    <w:rsid w:val="009652B2"/>
    <w:rsid w:val="00967E7E"/>
    <w:rsid w:val="0097012E"/>
    <w:rsid w:val="009702B9"/>
    <w:rsid w:val="00971A4D"/>
    <w:rsid w:val="00971A5D"/>
    <w:rsid w:val="00972EE6"/>
    <w:rsid w:val="00973190"/>
    <w:rsid w:val="0097620A"/>
    <w:rsid w:val="00976D05"/>
    <w:rsid w:val="00980660"/>
    <w:rsid w:val="00980735"/>
    <w:rsid w:val="00980929"/>
    <w:rsid w:val="00980CBC"/>
    <w:rsid w:val="00981175"/>
    <w:rsid w:val="00983A8B"/>
    <w:rsid w:val="00990265"/>
    <w:rsid w:val="00990A6A"/>
    <w:rsid w:val="009938F5"/>
    <w:rsid w:val="00993DD4"/>
    <w:rsid w:val="00993DDE"/>
    <w:rsid w:val="00996D0D"/>
    <w:rsid w:val="0099789B"/>
    <w:rsid w:val="009A0350"/>
    <w:rsid w:val="009A0FD5"/>
    <w:rsid w:val="009A23FA"/>
    <w:rsid w:val="009A25BD"/>
    <w:rsid w:val="009A2BA0"/>
    <w:rsid w:val="009A357B"/>
    <w:rsid w:val="009A5046"/>
    <w:rsid w:val="009A60C9"/>
    <w:rsid w:val="009A7650"/>
    <w:rsid w:val="009B3637"/>
    <w:rsid w:val="009B5321"/>
    <w:rsid w:val="009B5957"/>
    <w:rsid w:val="009B772D"/>
    <w:rsid w:val="009C3CAB"/>
    <w:rsid w:val="009C4D7E"/>
    <w:rsid w:val="009C4E7F"/>
    <w:rsid w:val="009C59EB"/>
    <w:rsid w:val="009C71C7"/>
    <w:rsid w:val="009D25FC"/>
    <w:rsid w:val="009D29B8"/>
    <w:rsid w:val="009E076C"/>
    <w:rsid w:val="009E165A"/>
    <w:rsid w:val="009E2863"/>
    <w:rsid w:val="009E60FB"/>
    <w:rsid w:val="009F0CA5"/>
    <w:rsid w:val="009F383A"/>
    <w:rsid w:val="009F47D4"/>
    <w:rsid w:val="009F755F"/>
    <w:rsid w:val="00A00157"/>
    <w:rsid w:val="00A02993"/>
    <w:rsid w:val="00A0379A"/>
    <w:rsid w:val="00A05110"/>
    <w:rsid w:val="00A13949"/>
    <w:rsid w:val="00A1440D"/>
    <w:rsid w:val="00A200F2"/>
    <w:rsid w:val="00A23DB9"/>
    <w:rsid w:val="00A25035"/>
    <w:rsid w:val="00A256E9"/>
    <w:rsid w:val="00A26409"/>
    <w:rsid w:val="00A34148"/>
    <w:rsid w:val="00A342D6"/>
    <w:rsid w:val="00A35429"/>
    <w:rsid w:val="00A35B94"/>
    <w:rsid w:val="00A37364"/>
    <w:rsid w:val="00A40A18"/>
    <w:rsid w:val="00A40A48"/>
    <w:rsid w:val="00A40F62"/>
    <w:rsid w:val="00A41C68"/>
    <w:rsid w:val="00A51172"/>
    <w:rsid w:val="00A53905"/>
    <w:rsid w:val="00A568C3"/>
    <w:rsid w:val="00A60EE0"/>
    <w:rsid w:val="00A62734"/>
    <w:rsid w:val="00A6284D"/>
    <w:rsid w:val="00A6711A"/>
    <w:rsid w:val="00A70DFB"/>
    <w:rsid w:val="00A723F5"/>
    <w:rsid w:val="00A72510"/>
    <w:rsid w:val="00A72F81"/>
    <w:rsid w:val="00A761FB"/>
    <w:rsid w:val="00A76D28"/>
    <w:rsid w:val="00A76D60"/>
    <w:rsid w:val="00A81329"/>
    <w:rsid w:val="00A832A7"/>
    <w:rsid w:val="00A84E25"/>
    <w:rsid w:val="00A85F7A"/>
    <w:rsid w:val="00A869D3"/>
    <w:rsid w:val="00A915B1"/>
    <w:rsid w:val="00A959AA"/>
    <w:rsid w:val="00A96A63"/>
    <w:rsid w:val="00AA259D"/>
    <w:rsid w:val="00AA2A44"/>
    <w:rsid w:val="00AA3F0C"/>
    <w:rsid w:val="00AA4051"/>
    <w:rsid w:val="00AA7D9D"/>
    <w:rsid w:val="00AA7DA3"/>
    <w:rsid w:val="00AB0D16"/>
    <w:rsid w:val="00AC21B2"/>
    <w:rsid w:val="00AC675E"/>
    <w:rsid w:val="00AC786B"/>
    <w:rsid w:val="00AD0FA9"/>
    <w:rsid w:val="00AD11A8"/>
    <w:rsid w:val="00AD1C4D"/>
    <w:rsid w:val="00AD4D4A"/>
    <w:rsid w:val="00AD54AE"/>
    <w:rsid w:val="00AD54BA"/>
    <w:rsid w:val="00AD63DC"/>
    <w:rsid w:val="00AD6471"/>
    <w:rsid w:val="00AD6CA9"/>
    <w:rsid w:val="00AE19BB"/>
    <w:rsid w:val="00AE2579"/>
    <w:rsid w:val="00AE3717"/>
    <w:rsid w:val="00AE4AC3"/>
    <w:rsid w:val="00AF3789"/>
    <w:rsid w:val="00AF421B"/>
    <w:rsid w:val="00AF75F2"/>
    <w:rsid w:val="00B00C10"/>
    <w:rsid w:val="00B00CAB"/>
    <w:rsid w:val="00B03DB3"/>
    <w:rsid w:val="00B04E43"/>
    <w:rsid w:val="00B05CCB"/>
    <w:rsid w:val="00B0608C"/>
    <w:rsid w:val="00B11ED3"/>
    <w:rsid w:val="00B1275D"/>
    <w:rsid w:val="00B13224"/>
    <w:rsid w:val="00B207C5"/>
    <w:rsid w:val="00B21AC5"/>
    <w:rsid w:val="00B2250F"/>
    <w:rsid w:val="00B22D18"/>
    <w:rsid w:val="00B255EE"/>
    <w:rsid w:val="00B25714"/>
    <w:rsid w:val="00B2706B"/>
    <w:rsid w:val="00B27C69"/>
    <w:rsid w:val="00B319BE"/>
    <w:rsid w:val="00B3338A"/>
    <w:rsid w:val="00B335B4"/>
    <w:rsid w:val="00B36CD9"/>
    <w:rsid w:val="00B37211"/>
    <w:rsid w:val="00B3799A"/>
    <w:rsid w:val="00B379DC"/>
    <w:rsid w:val="00B40BC7"/>
    <w:rsid w:val="00B420D9"/>
    <w:rsid w:val="00B4273D"/>
    <w:rsid w:val="00B42F18"/>
    <w:rsid w:val="00B42FBA"/>
    <w:rsid w:val="00B44A1A"/>
    <w:rsid w:val="00B45ACE"/>
    <w:rsid w:val="00B52C78"/>
    <w:rsid w:val="00B53644"/>
    <w:rsid w:val="00B53C19"/>
    <w:rsid w:val="00B56D5B"/>
    <w:rsid w:val="00B56FC9"/>
    <w:rsid w:val="00B600EC"/>
    <w:rsid w:val="00B61A96"/>
    <w:rsid w:val="00B625C6"/>
    <w:rsid w:val="00B6352E"/>
    <w:rsid w:val="00B6431C"/>
    <w:rsid w:val="00B6676B"/>
    <w:rsid w:val="00B70158"/>
    <w:rsid w:val="00B707EA"/>
    <w:rsid w:val="00B70B25"/>
    <w:rsid w:val="00B71D31"/>
    <w:rsid w:val="00B7334A"/>
    <w:rsid w:val="00B73C3F"/>
    <w:rsid w:val="00B75FB7"/>
    <w:rsid w:val="00B77514"/>
    <w:rsid w:val="00B80A03"/>
    <w:rsid w:val="00B85309"/>
    <w:rsid w:val="00B86200"/>
    <w:rsid w:val="00B9095F"/>
    <w:rsid w:val="00B91120"/>
    <w:rsid w:val="00B9201B"/>
    <w:rsid w:val="00B932BE"/>
    <w:rsid w:val="00B94451"/>
    <w:rsid w:val="00B955AE"/>
    <w:rsid w:val="00B962E0"/>
    <w:rsid w:val="00B97D8E"/>
    <w:rsid w:val="00BA1F8B"/>
    <w:rsid w:val="00BA66DF"/>
    <w:rsid w:val="00BA7F4E"/>
    <w:rsid w:val="00BB0630"/>
    <w:rsid w:val="00BB10CE"/>
    <w:rsid w:val="00BB1A8E"/>
    <w:rsid w:val="00BB1C21"/>
    <w:rsid w:val="00BB22F8"/>
    <w:rsid w:val="00BB3945"/>
    <w:rsid w:val="00BB3EFE"/>
    <w:rsid w:val="00BB6E2D"/>
    <w:rsid w:val="00BB798F"/>
    <w:rsid w:val="00BC045C"/>
    <w:rsid w:val="00BC4DEC"/>
    <w:rsid w:val="00BC5C79"/>
    <w:rsid w:val="00BD0EF4"/>
    <w:rsid w:val="00BD3D80"/>
    <w:rsid w:val="00BD47D0"/>
    <w:rsid w:val="00BD5B6A"/>
    <w:rsid w:val="00BD6F29"/>
    <w:rsid w:val="00BE15FA"/>
    <w:rsid w:val="00BE2E2E"/>
    <w:rsid w:val="00BE3072"/>
    <w:rsid w:val="00BE3ADC"/>
    <w:rsid w:val="00BE4819"/>
    <w:rsid w:val="00BE4EF8"/>
    <w:rsid w:val="00BE609B"/>
    <w:rsid w:val="00BF1282"/>
    <w:rsid w:val="00BF25DB"/>
    <w:rsid w:val="00BF47EB"/>
    <w:rsid w:val="00C01581"/>
    <w:rsid w:val="00C02342"/>
    <w:rsid w:val="00C02884"/>
    <w:rsid w:val="00C072B8"/>
    <w:rsid w:val="00C076C1"/>
    <w:rsid w:val="00C10C2F"/>
    <w:rsid w:val="00C16F93"/>
    <w:rsid w:val="00C219AC"/>
    <w:rsid w:val="00C21A42"/>
    <w:rsid w:val="00C22CAB"/>
    <w:rsid w:val="00C2781B"/>
    <w:rsid w:val="00C314FD"/>
    <w:rsid w:val="00C35493"/>
    <w:rsid w:val="00C3679E"/>
    <w:rsid w:val="00C3B199"/>
    <w:rsid w:val="00C40FC0"/>
    <w:rsid w:val="00C413D0"/>
    <w:rsid w:val="00C43979"/>
    <w:rsid w:val="00C43F88"/>
    <w:rsid w:val="00C5024F"/>
    <w:rsid w:val="00C5076C"/>
    <w:rsid w:val="00C51B48"/>
    <w:rsid w:val="00C53696"/>
    <w:rsid w:val="00C53A4D"/>
    <w:rsid w:val="00C547DF"/>
    <w:rsid w:val="00C547F5"/>
    <w:rsid w:val="00C54D17"/>
    <w:rsid w:val="00C553A0"/>
    <w:rsid w:val="00C55FB7"/>
    <w:rsid w:val="00C6542F"/>
    <w:rsid w:val="00C65AD4"/>
    <w:rsid w:val="00C74E23"/>
    <w:rsid w:val="00C751AA"/>
    <w:rsid w:val="00C75766"/>
    <w:rsid w:val="00C825EA"/>
    <w:rsid w:val="00C85F16"/>
    <w:rsid w:val="00C91E40"/>
    <w:rsid w:val="00C92F78"/>
    <w:rsid w:val="00C94349"/>
    <w:rsid w:val="00C955D2"/>
    <w:rsid w:val="00CA023E"/>
    <w:rsid w:val="00CA53E0"/>
    <w:rsid w:val="00CA61E4"/>
    <w:rsid w:val="00CA7F42"/>
    <w:rsid w:val="00CB1034"/>
    <w:rsid w:val="00CB3B23"/>
    <w:rsid w:val="00CB3BDC"/>
    <w:rsid w:val="00CB43A1"/>
    <w:rsid w:val="00CB5781"/>
    <w:rsid w:val="00CB5B34"/>
    <w:rsid w:val="00CC11EA"/>
    <w:rsid w:val="00CC4154"/>
    <w:rsid w:val="00CC76D7"/>
    <w:rsid w:val="00CD398E"/>
    <w:rsid w:val="00CD73DA"/>
    <w:rsid w:val="00CE0810"/>
    <w:rsid w:val="00CE2551"/>
    <w:rsid w:val="00CE3878"/>
    <w:rsid w:val="00CE53BD"/>
    <w:rsid w:val="00CE6319"/>
    <w:rsid w:val="00CF3232"/>
    <w:rsid w:val="00CF3735"/>
    <w:rsid w:val="00CF387F"/>
    <w:rsid w:val="00CF7A1E"/>
    <w:rsid w:val="00D00FFC"/>
    <w:rsid w:val="00D01C53"/>
    <w:rsid w:val="00D0242B"/>
    <w:rsid w:val="00D0377E"/>
    <w:rsid w:val="00D0683F"/>
    <w:rsid w:val="00D06C85"/>
    <w:rsid w:val="00D10771"/>
    <w:rsid w:val="00D11465"/>
    <w:rsid w:val="00D15025"/>
    <w:rsid w:val="00D154A3"/>
    <w:rsid w:val="00D20351"/>
    <w:rsid w:val="00D2178C"/>
    <w:rsid w:val="00D2239F"/>
    <w:rsid w:val="00D22BB4"/>
    <w:rsid w:val="00D24BE6"/>
    <w:rsid w:val="00D24EE7"/>
    <w:rsid w:val="00D26D6D"/>
    <w:rsid w:val="00D305B3"/>
    <w:rsid w:val="00D33EA6"/>
    <w:rsid w:val="00D365E6"/>
    <w:rsid w:val="00D418BF"/>
    <w:rsid w:val="00D46190"/>
    <w:rsid w:val="00D522CB"/>
    <w:rsid w:val="00D52801"/>
    <w:rsid w:val="00D550FC"/>
    <w:rsid w:val="00D552E1"/>
    <w:rsid w:val="00D578FA"/>
    <w:rsid w:val="00D61D67"/>
    <w:rsid w:val="00D62458"/>
    <w:rsid w:val="00D628CF"/>
    <w:rsid w:val="00D6728E"/>
    <w:rsid w:val="00D80C18"/>
    <w:rsid w:val="00D82382"/>
    <w:rsid w:val="00D82F55"/>
    <w:rsid w:val="00D91CF5"/>
    <w:rsid w:val="00D932F2"/>
    <w:rsid w:val="00DA10B5"/>
    <w:rsid w:val="00DA33CD"/>
    <w:rsid w:val="00DB231E"/>
    <w:rsid w:val="00DB26F7"/>
    <w:rsid w:val="00DB3883"/>
    <w:rsid w:val="00DB3E11"/>
    <w:rsid w:val="00DB49F8"/>
    <w:rsid w:val="00DB57C5"/>
    <w:rsid w:val="00DB66C3"/>
    <w:rsid w:val="00DC0697"/>
    <w:rsid w:val="00DC0F10"/>
    <w:rsid w:val="00DC1A2A"/>
    <w:rsid w:val="00DC51D1"/>
    <w:rsid w:val="00DC5251"/>
    <w:rsid w:val="00DD18B6"/>
    <w:rsid w:val="00DD447B"/>
    <w:rsid w:val="00DD45A1"/>
    <w:rsid w:val="00DD4AB2"/>
    <w:rsid w:val="00DE1D92"/>
    <w:rsid w:val="00DF081A"/>
    <w:rsid w:val="00DF794F"/>
    <w:rsid w:val="00DF7C59"/>
    <w:rsid w:val="00E00DD1"/>
    <w:rsid w:val="00E06C87"/>
    <w:rsid w:val="00E0714A"/>
    <w:rsid w:val="00E07694"/>
    <w:rsid w:val="00E07A32"/>
    <w:rsid w:val="00E07F32"/>
    <w:rsid w:val="00E15733"/>
    <w:rsid w:val="00E16269"/>
    <w:rsid w:val="00E2320B"/>
    <w:rsid w:val="00E24C29"/>
    <w:rsid w:val="00E26B75"/>
    <w:rsid w:val="00E31379"/>
    <w:rsid w:val="00E37389"/>
    <w:rsid w:val="00E37C18"/>
    <w:rsid w:val="00E4061A"/>
    <w:rsid w:val="00E431FB"/>
    <w:rsid w:val="00E4440E"/>
    <w:rsid w:val="00E4548E"/>
    <w:rsid w:val="00E45D32"/>
    <w:rsid w:val="00E47DC2"/>
    <w:rsid w:val="00E500F4"/>
    <w:rsid w:val="00E50554"/>
    <w:rsid w:val="00E51746"/>
    <w:rsid w:val="00E539CF"/>
    <w:rsid w:val="00E542FF"/>
    <w:rsid w:val="00E617F6"/>
    <w:rsid w:val="00E6218E"/>
    <w:rsid w:val="00E63C3A"/>
    <w:rsid w:val="00E66900"/>
    <w:rsid w:val="00E708A8"/>
    <w:rsid w:val="00E72A45"/>
    <w:rsid w:val="00E76561"/>
    <w:rsid w:val="00E805D7"/>
    <w:rsid w:val="00E8063F"/>
    <w:rsid w:val="00E80A91"/>
    <w:rsid w:val="00E82F33"/>
    <w:rsid w:val="00E86BEF"/>
    <w:rsid w:val="00E877EF"/>
    <w:rsid w:val="00E900B9"/>
    <w:rsid w:val="00E932FC"/>
    <w:rsid w:val="00E94543"/>
    <w:rsid w:val="00E959E4"/>
    <w:rsid w:val="00E97A0D"/>
    <w:rsid w:val="00EA0FA8"/>
    <w:rsid w:val="00EA3471"/>
    <w:rsid w:val="00EA3D04"/>
    <w:rsid w:val="00EA3DDA"/>
    <w:rsid w:val="00EA3F6C"/>
    <w:rsid w:val="00EA7DFC"/>
    <w:rsid w:val="00EB0708"/>
    <w:rsid w:val="00EB1168"/>
    <w:rsid w:val="00EB2872"/>
    <w:rsid w:val="00EB65C6"/>
    <w:rsid w:val="00EC01F6"/>
    <w:rsid w:val="00EC224A"/>
    <w:rsid w:val="00EC5936"/>
    <w:rsid w:val="00EC7844"/>
    <w:rsid w:val="00EC7D61"/>
    <w:rsid w:val="00ED7487"/>
    <w:rsid w:val="00EE0062"/>
    <w:rsid w:val="00EE78A8"/>
    <w:rsid w:val="00EE7A8D"/>
    <w:rsid w:val="00EF135F"/>
    <w:rsid w:val="00EF4205"/>
    <w:rsid w:val="00EF53D3"/>
    <w:rsid w:val="00EF6773"/>
    <w:rsid w:val="00F02069"/>
    <w:rsid w:val="00F031AF"/>
    <w:rsid w:val="00F044A4"/>
    <w:rsid w:val="00F04FE6"/>
    <w:rsid w:val="00F06860"/>
    <w:rsid w:val="00F11CAA"/>
    <w:rsid w:val="00F1256D"/>
    <w:rsid w:val="00F21B26"/>
    <w:rsid w:val="00F30AA3"/>
    <w:rsid w:val="00F3180D"/>
    <w:rsid w:val="00F31DF9"/>
    <w:rsid w:val="00F33C0F"/>
    <w:rsid w:val="00F36D95"/>
    <w:rsid w:val="00F36F32"/>
    <w:rsid w:val="00F40687"/>
    <w:rsid w:val="00F40D00"/>
    <w:rsid w:val="00F424D4"/>
    <w:rsid w:val="00F43CF4"/>
    <w:rsid w:val="00F4596F"/>
    <w:rsid w:val="00F50941"/>
    <w:rsid w:val="00F50DE7"/>
    <w:rsid w:val="00F517BC"/>
    <w:rsid w:val="00F51DEA"/>
    <w:rsid w:val="00F53C45"/>
    <w:rsid w:val="00F53F8A"/>
    <w:rsid w:val="00F55B2E"/>
    <w:rsid w:val="00F55BE0"/>
    <w:rsid w:val="00F57397"/>
    <w:rsid w:val="00F607D1"/>
    <w:rsid w:val="00F6113E"/>
    <w:rsid w:val="00F621F7"/>
    <w:rsid w:val="00F62E08"/>
    <w:rsid w:val="00F63106"/>
    <w:rsid w:val="00F70B13"/>
    <w:rsid w:val="00F70DF5"/>
    <w:rsid w:val="00F75116"/>
    <w:rsid w:val="00F76F78"/>
    <w:rsid w:val="00F7709B"/>
    <w:rsid w:val="00F80FBA"/>
    <w:rsid w:val="00F83784"/>
    <w:rsid w:val="00F85AB2"/>
    <w:rsid w:val="00F908F8"/>
    <w:rsid w:val="00F90F16"/>
    <w:rsid w:val="00F918F1"/>
    <w:rsid w:val="00F9487F"/>
    <w:rsid w:val="00F96CD1"/>
    <w:rsid w:val="00F976D3"/>
    <w:rsid w:val="00FA5BE6"/>
    <w:rsid w:val="00FA6704"/>
    <w:rsid w:val="00FB02F9"/>
    <w:rsid w:val="00FB0E54"/>
    <w:rsid w:val="00FB162C"/>
    <w:rsid w:val="00FB2606"/>
    <w:rsid w:val="00FB2E96"/>
    <w:rsid w:val="00FB47DD"/>
    <w:rsid w:val="00FB7437"/>
    <w:rsid w:val="00FB76D3"/>
    <w:rsid w:val="00FC0A10"/>
    <w:rsid w:val="00FC1433"/>
    <w:rsid w:val="00FC3620"/>
    <w:rsid w:val="00FC3EC9"/>
    <w:rsid w:val="00FC6B57"/>
    <w:rsid w:val="00FD131D"/>
    <w:rsid w:val="00FD2778"/>
    <w:rsid w:val="00FD31F4"/>
    <w:rsid w:val="00FD5EA0"/>
    <w:rsid w:val="00FD659B"/>
    <w:rsid w:val="00FD75CB"/>
    <w:rsid w:val="00FE07C6"/>
    <w:rsid w:val="00FE0CE6"/>
    <w:rsid w:val="00FE642E"/>
    <w:rsid w:val="00FF14F6"/>
    <w:rsid w:val="00FF213F"/>
    <w:rsid w:val="00FF273A"/>
    <w:rsid w:val="00FF3DD6"/>
    <w:rsid w:val="00FF4353"/>
    <w:rsid w:val="00FF4382"/>
    <w:rsid w:val="00FF5E40"/>
    <w:rsid w:val="010EA76D"/>
    <w:rsid w:val="012B9263"/>
    <w:rsid w:val="017A9CF9"/>
    <w:rsid w:val="0188192A"/>
    <w:rsid w:val="01A537F5"/>
    <w:rsid w:val="01C05ABE"/>
    <w:rsid w:val="02883606"/>
    <w:rsid w:val="02E1D8F7"/>
    <w:rsid w:val="02EB40D8"/>
    <w:rsid w:val="02F6FEB0"/>
    <w:rsid w:val="03591523"/>
    <w:rsid w:val="0362FC52"/>
    <w:rsid w:val="03700FFA"/>
    <w:rsid w:val="0398B9D5"/>
    <w:rsid w:val="03C6684E"/>
    <w:rsid w:val="03E4F0D4"/>
    <w:rsid w:val="0449B0D2"/>
    <w:rsid w:val="044A0AC8"/>
    <w:rsid w:val="04650DDB"/>
    <w:rsid w:val="049AE9C6"/>
    <w:rsid w:val="04BF2274"/>
    <w:rsid w:val="04C6AA58"/>
    <w:rsid w:val="0516028D"/>
    <w:rsid w:val="05B51076"/>
    <w:rsid w:val="06329FB5"/>
    <w:rsid w:val="06462783"/>
    <w:rsid w:val="0680969E"/>
    <w:rsid w:val="07EE767A"/>
    <w:rsid w:val="080FB3DF"/>
    <w:rsid w:val="08382C58"/>
    <w:rsid w:val="08EB1309"/>
    <w:rsid w:val="0916C6A0"/>
    <w:rsid w:val="09659615"/>
    <w:rsid w:val="09E4435B"/>
    <w:rsid w:val="09FE589C"/>
    <w:rsid w:val="0A644583"/>
    <w:rsid w:val="0A9055E9"/>
    <w:rsid w:val="0A996EA4"/>
    <w:rsid w:val="0B69CF32"/>
    <w:rsid w:val="0C3232D2"/>
    <w:rsid w:val="0C32F283"/>
    <w:rsid w:val="0C3E1C67"/>
    <w:rsid w:val="0C526DD3"/>
    <w:rsid w:val="0C57A870"/>
    <w:rsid w:val="0CE91E32"/>
    <w:rsid w:val="0CEFD822"/>
    <w:rsid w:val="0D1A81A1"/>
    <w:rsid w:val="0D1BB79D"/>
    <w:rsid w:val="0D328563"/>
    <w:rsid w:val="0D36816B"/>
    <w:rsid w:val="0D7D0B10"/>
    <w:rsid w:val="0DAF3609"/>
    <w:rsid w:val="0DBA2E0E"/>
    <w:rsid w:val="0DF09318"/>
    <w:rsid w:val="0E1858A2"/>
    <w:rsid w:val="0E3CFEA1"/>
    <w:rsid w:val="0E8A40D0"/>
    <w:rsid w:val="0E8C878B"/>
    <w:rsid w:val="0E9046A2"/>
    <w:rsid w:val="0EB787FE"/>
    <w:rsid w:val="0ED10A6A"/>
    <w:rsid w:val="0EE0EF13"/>
    <w:rsid w:val="0F60278E"/>
    <w:rsid w:val="0F61E709"/>
    <w:rsid w:val="0F72C380"/>
    <w:rsid w:val="0F7B28A2"/>
    <w:rsid w:val="0F7F6B76"/>
    <w:rsid w:val="0FE50BE9"/>
    <w:rsid w:val="100B5638"/>
    <w:rsid w:val="1053585F"/>
    <w:rsid w:val="1094DDF8"/>
    <w:rsid w:val="10C50EB7"/>
    <w:rsid w:val="111ABB0C"/>
    <w:rsid w:val="113E376E"/>
    <w:rsid w:val="117A557F"/>
    <w:rsid w:val="118BA9EC"/>
    <w:rsid w:val="119CE871"/>
    <w:rsid w:val="11AFAA9C"/>
    <w:rsid w:val="11C7E764"/>
    <w:rsid w:val="12450077"/>
    <w:rsid w:val="126BF2D1"/>
    <w:rsid w:val="12E5F82B"/>
    <w:rsid w:val="13A16D5A"/>
    <w:rsid w:val="13D02DA9"/>
    <w:rsid w:val="13DB5D28"/>
    <w:rsid w:val="14599442"/>
    <w:rsid w:val="14677938"/>
    <w:rsid w:val="146A4926"/>
    <w:rsid w:val="14924888"/>
    <w:rsid w:val="14FAEA07"/>
    <w:rsid w:val="157829A8"/>
    <w:rsid w:val="15BD2097"/>
    <w:rsid w:val="15D4744D"/>
    <w:rsid w:val="15F7F44F"/>
    <w:rsid w:val="16061987"/>
    <w:rsid w:val="161666C3"/>
    <w:rsid w:val="16336B26"/>
    <w:rsid w:val="164322F0"/>
    <w:rsid w:val="164975F2"/>
    <w:rsid w:val="16B58DB1"/>
    <w:rsid w:val="174382B6"/>
    <w:rsid w:val="1751B2C0"/>
    <w:rsid w:val="17DEF351"/>
    <w:rsid w:val="17E7C6CB"/>
    <w:rsid w:val="18624F78"/>
    <w:rsid w:val="18720FF4"/>
    <w:rsid w:val="1887C516"/>
    <w:rsid w:val="18B03AA4"/>
    <w:rsid w:val="18B441FB"/>
    <w:rsid w:val="18ED8321"/>
    <w:rsid w:val="1904A602"/>
    <w:rsid w:val="1938BC29"/>
    <w:rsid w:val="197A8AEF"/>
    <w:rsid w:val="1A00601F"/>
    <w:rsid w:val="1A290750"/>
    <w:rsid w:val="1A7C8AE8"/>
    <w:rsid w:val="1AE15FED"/>
    <w:rsid w:val="1BEBE2BD"/>
    <w:rsid w:val="1C1CFB2E"/>
    <w:rsid w:val="1C44C621"/>
    <w:rsid w:val="1C694A38"/>
    <w:rsid w:val="1C7D41A4"/>
    <w:rsid w:val="1CEC46BC"/>
    <w:rsid w:val="1D1E2BD5"/>
    <w:rsid w:val="1D2C58BA"/>
    <w:rsid w:val="1D41AC89"/>
    <w:rsid w:val="1D5F036A"/>
    <w:rsid w:val="1D929F99"/>
    <w:rsid w:val="1D9EC77C"/>
    <w:rsid w:val="1DABC7F6"/>
    <w:rsid w:val="1EB05221"/>
    <w:rsid w:val="1EEBC602"/>
    <w:rsid w:val="1F25A24B"/>
    <w:rsid w:val="1F59945B"/>
    <w:rsid w:val="1F65E93D"/>
    <w:rsid w:val="1FD763A7"/>
    <w:rsid w:val="208BEAA5"/>
    <w:rsid w:val="20A0BEC0"/>
    <w:rsid w:val="20CA405B"/>
    <w:rsid w:val="21579ECC"/>
    <w:rsid w:val="2207B763"/>
    <w:rsid w:val="22194C30"/>
    <w:rsid w:val="22397F0F"/>
    <w:rsid w:val="224D77A0"/>
    <w:rsid w:val="22B407A5"/>
    <w:rsid w:val="23160BB0"/>
    <w:rsid w:val="234DD887"/>
    <w:rsid w:val="23614663"/>
    <w:rsid w:val="23916F5A"/>
    <w:rsid w:val="23A61519"/>
    <w:rsid w:val="2401E11D"/>
    <w:rsid w:val="241B097A"/>
    <w:rsid w:val="244882F3"/>
    <w:rsid w:val="2473273B"/>
    <w:rsid w:val="2491556F"/>
    <w:rsid w:val="24CCB300"/>
    <w:rsid w:val="25B6D9DB"/>
    <w:rsid w:val="25E29D0E"/>
    <w:rsid w:val="25FF182D"/>
    <w:rsid w:val="26008D0B"/>
    <w:rsid w:val="262285BB"/>
    <w:rsid w:val="26379468"/>
    <w:rsid w:val="265590C6"/>
    <w:rsid w:val="265936F0"/>
    <w:rsid w:val="26C20029"/>
    <w:rsid w:val="26C2E30C"/>
    <w:rsid w:val="278E6D1E"/>
    <w:rsid w:val="27994FBD"/>
    <w:rsid w:val="288FD537"/>
    <w:rsid w:val="2896341D"/>
    <w:rsid w:val="28C7357B"/>
    <w:rsid w:val="28CC0D87"/>
    <w:rsid w:val="29033562"/>
    <w:rsid w:val="291D3E87"/>
    <w:rsid w:val="29234929"/>
    <w:rsid w:val="29788FB9"/>
    <w:rsid w:val="29933F6A"/>
    <w:rsid w:val="29C599C1"/>
    <w:rsid w:val="2A45AD14"/>
    <w:rsid w:val="2A63522C"/>
    <w:rsid w:val="2A9C0672"/>
    <w:rsid w:val="2AD09670"/>
    <w:rsid w:val="2AD3FF13"/>
    <w:rsid w:val="2B23A108"/>
    <w:rsid w:val="2B45E4E0"/>
    <w:rsid w:val="2B79D3B0"/>
    <w:rsid w:val="2BA050CE"/>
    <w:rsid w:val="2C09F40D"/>
    <w:rsid w:val="2C348917"/>
    <w:rsid w:val="2C3D2910"/>
    <w:rsid w:val="2C8551C5"/>
    <w:rsid w:val="2C9794FE"/>
    <w:rsid w:val="2CC24FA4"/>
    <w:rsid w:val="2D20AC50"/>
    <w:rsid w:val="2DDF8A52"/>
    <w:rsid w:val="2DE2842B"/>
    <w:rsid w:val="2E074BBB"/>
    <w:rsid w:val="2E215F8F"/>
    <w:rsid w:val="2E5B41CA"/>
    <w:rsid w:val="2EE25771"/>
    <w:rsid w:val="2EF66A7F"/>
    <w:rsid w:val="2EFFBCBE"/>
    <w:rsid w:val="2F335B4E"/>
    <w:rsid w:val="2F7772AB"/>
    <w:rsid w:val="2F8448D9"/>
    <w:rsid w:val="2F90326E"/>
    <w:rsid w:val="2F9F1652"/>
    <w:rsid w:val="2FA9BE77"/>
    <w:rsid w:val="3132FAA8"/>
    <w:rsid w:val="31E9B1BC"/>
    <w:rsid w:val="32214DC6"/>
    <w:rsid w:val="324DD42F"/>
    <w:rsid w:val="328244C9"/>
    <w:rsid w:val="32B37ED4"/>
    <w:rsid w:val="32DEDE3D"/>
    <w:rsid w:val="3385AEFC"/>
    <w:rsid w:val="33F4EF8A"/>
    <w:rsid w:val="33FBDD95"/>
    <w:rsid w:val="3460D672"/>
    <w:rsid w:val="351499A9"/>
    <w:rsid w:val="3539B599"/>
    <w:rsid w:val="356EA367"/>
    <w:rsid w:val="3585DF7B"/>
    <w:rsid w:val="35BEE6DD"/>
    <w:rsid w:val="364BC5E6"/>
    <w:rsid w:val="36CC0D1D"/>
    <w:rsid w:val="371E7B16"/>
    <w:rsid w:val="377861BF"/>
    <w:rsid w:val="37BAB938"/>
    <w:rsid w:val="3845AEA6"/>
    <w:rsid w:val="385F9C88"/>
    <w:rsid w:val="38751C7A"/>
    <w:rsid w:val="38BFC2CF"/>
    <w:rsid w:val="38CE0A98"/>
    <w:rsid w:val="38D2DCEE"/>
    <w:rsid w:val="38FD17FF"/>
    <w:rsid w:val="390F369E"/>
    <w:rsid w:val="399B8BF9"/>
    <w:rsid w:val="39AB1860"/>
    <w:rsid w:val="3A000439"/>
    <w:rsid w:val="3A8F33F1"/>
    <w:rsid w:val="3AA0EA79"/>
    <w:rsid w:val="3AB0FB4C"/>
    <w:rsid w:val="3AFEB3A7"/>
    <w:rsid w:val="3B31AC9E"/>
    <w:rsid w:val="3B380D0E"/>
    <w:rsid w:val="3B39C4D2"/>
    <w:rsid w:val="3B3D5CCC"/>
    <w:rsid w:val="3B9C7204"/>
    <w:rsid w:val="3BC51769"/>
    <w:rsid w:val="3C4714C9"/>
    <w:rsid w:val="3C56BC09"/>
    <w:rsid w:val="3C99BDB2"/>
    <w:rsid w:val="3D5A327F"/>
    <w:rsid w:val="3D7FAE48"/>
    <w:rsid w:val="3E227E49"/>
    <w:rsid w:val="3EB3E7A3"/>
    <w:rsid w:val="3EFCB82B"/>
    <w:rsid w:val="3F44F4ED"/>
    <w:rsid w:val="3FCAEFA2"/>
    <w:rsid w:val="40144E9A"/>
    <w:rsid w:val="40317AF3"/>
    <w:rsid w:val="403B57CF"/>
    <w:rsid w:val="404E7A81"/>
    <w:rsid w:val="406D1016"/>
    <w:rsid w:val="40CE0719"/>
    <w:rsid w:val="40F8D4E6"/>
    <w:rsid w:val="413A3913"/>
    <w:rsid w:val="41539346"/>
    <w:rsid w:val="41A92E8F"/>
    <w:rsid w:val="41E64290"/>
    <w:rsid w:val="42086CD3"/>
    <w:rsid w:val="425CF1C6"/>
    <w:rsid w:val="4344D6B7"/>
    <w:rsid w:val="439B1002"/>
    <w:rsid w:val="43A80BEC"/>
    <w:rsid w:val="43ADFF24"/>
    <w:rsid w:val="43C01974"/>
    <w:rsid w:val="44305244"/>
    <w:rsid w:val="44428DFB"/>
    <w:rsid w:val="4444A753"/>
    <w:rsid w:val="44481CBD"/>
    <w:rsid w:val="44516B79"/>
    <w:rsid w:val="446F82E2"/>
    <w:rsid w:val="4492B1EC"/>
    <w:rsid w:val="44A97FC0"/>
    <w:rsid w:val="44EC9BF5"/>
    <w:rsid w:val="45F527F5"/>
    <w:rsid w:val="46B92589"/>
    <w:rsid w:val="46D34091"/>
    <w:rsid w:val="46DBDDF6"/>
    <w:rsid w:val="478D5345"/>
    <w:rsid w:val="47ABFB0F"/>
    <w:rsid w:val="47C53D42"/>
    <w:rsid w:val="47D36585"/>
    <w:rsid w:val="47E614C1"/>
    <w:rsid w:val="48027A45"/>
    <w:rsid w:val="48196C32"/>
    <w:rsid w:val="48243CB7"/>
    <w:rsid w:val="482C4538"/>
    <w:rsid w:val="48470BC4"/>
    <w:rsid w:val="48C68B0A"/>
    <w:rsid w:val="49672A29"/>
    <w:rsid w:val="4A3A6EB1"/>
    <w:rsid w:val="4A4D113B"/>
    <w:rsid w:val="4AD8271C"/>
    <w:rsid w:val="4AFD0C2F"/>
    <w:rsid w:val="4BA5E88C"/>
    <w:rsid w:val="4BAB1290"/>
    <w:rsid w:val="4BB6F03A"/>
    <w:rsid w:val="4BD28759"/>
    <w:rsid w:val="4BE1EB3E"/>
    <w:rsid w:val="4C1F495F"/>
    <w:rsid w:val="4C291DC6"/>
    <w:rsid w:val="4CA952BF"/>
    <w:rsid w:val="4CC6B6AA"/>
    <w:rsid w:val="4CE55571"/>
    <w:rsid w:val="4CF37088"/>
    <w:rsid w:val="4D17AFC8"/>
    <w:rsid w:val="4D1C49A5"/>
    <w:rsid w:val="4D28747E"/>
    <w:rsid w:val="4D63ADFE"/>
    <w:rsid w:val="4DB52727"/>
    <w:rsid w:val="4DC69423"/>
    <w:rsid w:val="4E32B959"/>
    <w:rsid w:val="4E34ACF1"/>
    <w:rsid w:val="4E6ACE87"/>
    <w:rsid w:val="4E74E91B"/>
    <w:rsid w:val="4E7F923B"/>
    <w:rsid w:val="4E937E3B"/>
    <w:rsid w:val="4EB7FCAB"/>
    <w:rsid w:val="4ED0BB70"/>
    <w:rsid w:val="4ED2055B"/>
    <w:rsid w:val="4EFF7E5F"/>
    <w:rsid w:val="4F69FCC5"/>
    <w:rsid w:val="4F8F3F17"/>
    <w:rsid w:val="4FA3F7C1"/>
    <w:rsid w:val="4FA549E3"/>
    <w:rsid w:val="4FD767CC"/>
    <w:rsid w:val="4FEF6FC4"/>
    <w:rsid w:val="5009C223"/>
    <w:rsid w:val="501416FA"/>
    <w:rsid w:val="506C8BD1"/>
    <w:rsid w:val="50B33152"/>
    <w:rsid w:val="51AC89DD"/>
    <w:rsid w:val="51B534FC"/>
    <w:rsid w:val="51BFB0AE"/>
    <w:rsid w:val="51C24223"/>
    <w:rsid w:val="51E39907"/>
    <w:rsid w:val="525444F3"/>
    <w:rsid w:val="5302ED23"/>
    <w:rsid w:val="5311A9C9"/>
    <w:rsid w:val="532F3832"/>
    <w:rsid w:val="5367D4A2"/>
    <w:rsid w:val="53833E68"/>
    <w:rsid w:val="53DD993E"/>
    <w:rsid w:val="53E5C067"/>
    <w:rsid w:val="545E40EC"/>
    <w:rsid w:val="549EBD84"/>
    <w:rsid w:val="54D5AB62"/>
    <w:rsid w:val="54DA100B"/>
    <w:rsid w:val="54E42A9F"/>
    <w:rsid w:val="551AA251"/>
    <w:rsid w:val="5526D497"/>
    <w:rsid w:val="55769593"/>
    <w:rsid w:val="55F7D254"/>
    <w:rsid w:val="561A6208"/>
    <w:rsid w:val="5639F6E2"/>
    <w:rsid w:val="563A8DE5"/>
    <w:rsid w:val="56DBCD55"/>
    <w:rsid w:val="57506C77"/>
    <w:rsid w:val="57618358"/>
    <w:rsid w:val="57F1D325"/>
    <w:rsid w:val="58096951"/>
    <w:rsid w:val="583CCB5A"/>
    <w:rsid w:val="5853D6AA"/>
    <w:rsid w:val="5866AFB0"/>
    <w:rsid w:val="58CEE328"/>
    <w:rsid w:val="595C9DB2"/>
    <w:rsid w:val="59A9BE95"/>
    <w:rsid w:val="5A067C20"/>
    <w:rsid w:val="5A7F8936"/>
    <w:rsid w:val="5B45E905"/>
    <w:rsid w:val="5B8F8DD8"/>
    <w:rsid w:val="5B90758C"/>
    <w:rsid w:val="5BCF82C6"/>
    <w:rsid w:val="5BFB7A31"/>
    <w:rsid w:val="5D1FBFE9"/>
    <w:rsid w:val="5D60BA61"/>
    <w:rsid w:val="5D66B508"/>
    <w:rsid w:val="5E031153"/>
    <w:rsid w:val="5E2886F1"/>
    <w:rsid w:val="5E360322"/>
    <w:rsid w:val="5E601AEB"/>
    <w:rsid w:val="5E7CBA92"/>
    <w:rsid w:val="5EB1A6D3"/>
    <w:rsid w:val="5F067B86"/>
    <w:rsid w:val="5F992AD0"/>
    <w:rsid w:val="5FE1702B"/>
    <w:rsid w:val="609E55CA"/>
    <w:rsid w:val="60B16647"/>
    <w:rsid w:val="60F523AE"/>
    <w:rsid w:val="613ABCAD"/>
    <w:rsid w:val="620054D9"/>
    <w:rsid w:val="62088A8A"/>
    <w:rsid w:val="623EC44A"/>
    <w:rsid w:val="623F52A6"/>
    <w:rsid w:val="636AADB7"/>
    <w:rsid w:val="63874CAA"/>
    <w:rsid w:val="63BF261D"/>
    <w:rsid w:val="63D264C5"/>
    <w:rsid w:val="63D5F68C"/>
    <w:rsid w:val="63D85912"/>
    <w:rsid w:val="64157B90"/>
    <w:rsid w:val="64201D20"/>
    <w:rsid w:val="642B3D1C"/>
    <w:rsid w:val="6447973F"/>
    <w:rsid w:val="65231D0B"/>
    <w:rsid w:val="6571C6ED"/>
    <w:rsid w:val="6594ACD5"/>
    <w:rsid w:val="6598FD01"/>
    <w:rsid w:val="65B39F47"/>
    <w:rsid w:val="6630BB54"/>
    <w:rsid w:val="6649AA8F"/>
    <w:rsid w:val="66B0C7CE"/>
    <w:rsid w:val="66B3EEC5"/>
    <w:rsid w:val="67122F7B"/>
    <w:rsid w:val="674F6FA8"/>
    <w:rsid w:val="67CD14AC"/>
    <w:rsid w:val="6803D603"/>
    <w:rsid w:val="685871D1"/>
    <w:rsid w:val="6881CBA8"/>
    <w:rsid w:val="6886450C"/>
    <w:rsid w:val="68A8BB7D"/>
    <w:rsid w:val="68E01CCA"/>
    <w:rsid w:val="6904D07C"/>
    <w:rsid w:val="6913500E"/>
    <w:rsid w:val="694C34C4"/>
    <w:rsid w:val="6950EC6A"/>
    <w:rsid w:val="6971928C"/>
    <w:rsid w:val="6A399498"/>
    <w:rsid w:val="6A49FE68"/>
    <w:rsid w:val="6A51C3B5"/>
    <w:rsid w:val="6A9E3F8E"/>
    <w:rsid w:val="6AC494BE"/>
    <w:rsid w:val="6B1FD2A6"/>
    <w:rsid w:val="6B6B8239"/>
    <w:rsid w:val="6B7CFC43"/>
    <w:rsid w:val="6B80537D"/>
    <w:rsid w:val="6B90605F"/>
    <w:rsid w:val="6B949A87"/>
    <w:rsid w:val="6B964473"/>
    <w:rsid w:val="6C03EE59"/>
    <w:rsid w:val="6C1662B8"/>
    <w:rsid w:val="6C7210F9"/>
    <w:rsid w:val="6C9C00C9"/>
    <w:rsid w:val="6CEF6F92"/>
    <w:rsid w:val="6D670F1A"/>
    <w:rsid w:val="6D81361C"/>
    <w:rsid w:val="6D896477"/>
    <w:rsid w:val="6DB602A8"/>
    <w:rsid w:val="6DBCAA63"/>
    <w:rsid w:val="6DC6D8D8"/>
    <w:rsid w:val="6DFA88AD"/>
    <w:rsid w:val="6E5D3C0C"/>
    <w:rsid w:val="6E5D9494"/>
    <w:rsid w:val="6EA02D3E"/>
    <w:rsid w:val="6ECE1806"/>
    <w:rsid w:val="6F1B2038"/>
    <w:rsid w:val="6F2534D8"/>
    <w:rsid w:val="6F7BCB45"/>
    <w:rsid w:val="6FB64B49"/>
    <w:rsid w:val="6FFB68C6"/>
    <w:rsid w:val="701A5DE7"/>
    <w:rsid w:val="702533E3"/>
    <w:rsid w:val="70A1DD27"/>
    <w:rsid w:val="70F3B3AD"/>
    <w:rsid w:val="71077E3A"/>
    <w:rsid w:val="71190112"/>
    <w:rsid w:val="716FE866"/>
    <w:rsid w:val="71918FEC"/>
    <w:rsid w:val="71C2ECBB"/>
    <w:rsid w:val="721D6286"/>
    <w:rsid w:val="724AF432"/>
    <w:rsid w:val="7280B0B4"/>
    <w:rsid w:val="7297BCA6"/>
    <w:rsid w:val="72E1551E"/>
    <w:rsid w:val="732AE48B"/>
    <w:rsid w:val="738C69BE"/>
    <w:rsid w:val="73FF6396"/>
    <w:rsid w:val="74139541"/>
    <w:rsid w:val="7436140B"/>
    <w:rsid w:val="75887C3D"/>
    <w:rsid w:val="759344DA"/>
    <w:rsid w:val="762874E7"/>
    <w:rsid w:val="76391941"/>
    <w:rsid w:val="764DEA85"/>
    <w:rsid w:val="76D81126"/>
    <w:rsid w:val="76DCFEBC"/>
    <w:rsid w:val="76E03528"/>
    <w:rsid w:val="77AD5FD0"/>
    <w:rsid w:val="77F01FA1"/>
    <w:rsid w:val="7800D170"/>
    <w:rsid w:val="78539C3E"/>
    <w:rsid w:val="785D5AC4"/>
    <w:rsid w:val="787C0589"/>
    <w:rsid w:val="78A4B0F9"/>
    <w:rsid w:val="78F41F26"/>
    <w:rsid w:val="79972BC0"/>
    <w:rsid w:val="79CC15CD"/>
    <w:rsid w:val="7A429C20"/>
    <w:rsid w:val="7A463050"/>
    <w:rsid w:val="7A7BCFEE"/>
    <w:rsid w:val="7A9AE105"/>
    <w:rsid w:val="7AB50320"/>
    <w:rsid w:val="7AEA514D"/>
    <w:rsid w:val="7B8210CC"/>
    <w:rsid w:val="7B9E39EC"/>
    <w:rsid w:val="7BB3A64B"/>
    <w:rsid w:val="7BB8C5B7"/>
    <w:rsid w:val="7C4125F0"/>
    <w:rsid w:val="7CCBBC2F"/>
    <w:rsid w:val="7CFC6C14"/>
    <w:rsid w:val="7D5FAACC"/>
    <w:rsid w:val="7D9494D9"/>
    <w:rsid w:val="7DC589C4"/>
    <w:rsid w:val="7DD281C7"/>
    <w:rsid w:val="7E3427E9"/>
    <w:rsid w:val="7E3AD816"/>
    <w:rsid w:val="7E40B62C"/>
    <w:rsid w:val="7E5BFC5A"/>
    <w:rsid w:val="7E888A9D"/>
    <w:rsid w:val="7E88A178"/>
    <w:rsid w:val="7EA47486"/>
    <w:rsid w:val="7EEA4C99"/>
    <w:rsid w:val="7F917F18"/>
    <w:rsid w:val="7FAD08BD"/>
    <w:rsid w:val="7FB16A6E"/>
    <w:rsid w:val="7FCA5840"/>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040F83"/>
  <w15:docId w15:val="{CF7225D1-3870-48FC-8D42-6B8556DD6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C21"/>
    <w:pPr>
      <w:spacing w:after="240" w:line="240" w:lineRule="auto"/>
    </w:pPr>
    <w:rPr>
      <w:rFonts w:ascii="Arial" w:hAnsi="Arial"/>
      <w:lang w:eastAsia="en-US"/>
    </w:rPr>
  </w:style>
  <w:style w:type="paragraph" w:styleId="Heading1">
    <w:name w:val="heading 1"/>
    <w:aliases w:val="1. Überschrift"/>
    <w:basedOn w:val="Normal"/>
    <w:next w:val="Normal"/>
    <w:link w:val="Heading1Char"/>
    <w:uiPriority w:val="1"/>
    <w:qFormat/>
    <w:rsid w:val="005B09AC"/>
    <w:pPr>
      <w:keepNext/>
      <w:keepLines/>
      <w:spacing w:before="480"/>
      <w:outlineLvl w:val="0"/>
    </w:pPr>
    <w:rPr>
      <w:rFonts w:eastAsiaTheme="majorEastAsia" w:cstheme="majorBidi"/>
      <w:b/>
      <w:bCs/>
      <w:szCs w:val="28"/>
    </w:rPr>
  </w:style>
  <w:style w:type="paragraph" w:styleId="Heading2">
    <w:name w:val="heading 2"/>
    <w:aliases w:val="2. Überschrift"/>
    <w:basedOn w:val="Normal"/>
    <w:next w:val="Normal"/>
    <w:link w:val="Heading2Char"/>
    <w:uiPriority w:val="1"/>
    <w:unhideWhenUsed/>
    <w:qFormat/>
    <w:rsid w:val="00E431FB"/>
    <w:pPr>
      <w:keepNext/>
      <w:keepLines/>
      <w:spacing w:before="240"/>
      <w:outlineLvl w:val="1"/>
    </w:pPr>
    <w:rPr>
      <w:rFonts w:eastAsiaTheme="majorEastAsia" w:cstheme="majorBidi"/>
      <w:b/>
      <w:bCs/>
      <w:szCs w:val="26"/>
    </w:rPr>
  </w:style>
  <w:style w:type="paragraph" w:styleId="Heading3">
    <w:name w:val="heading 3"/>
    <w:aliases w:val="3. Überschrift"/>
    <w:basedOn w:val="Normal"/>
    <w:next w:val="Normal"/>
    <w:link w:val="Heading3Char"/>
    <w:uiPriority w:val="1"/>
    <w:unhideWhenUsed/>
    <w:qFormat/>
    <w:rsid w:val="00676462"/>
    <w:pPr>
      <w:keepNext/>
      <w:keepLines/>
      <w:spacing w:before="240"/>
      <w:outlineLvl w:val="2"/>
    </w:pPr>
    <w:rPr>
      <w:rFonts w:eastAsiaTheme="majorEastAsia" w:cstheme="majorBidi"/>
      <w:b/>
      <w:bCs/>
    </w:rPr>
  </w:style>
  <w:style w:type="paragraph" w:styleId="Heading4">
    <w:name w:val="heading 4"/>
    <w:basedOn w:val="Normal"/>
    <w:next w:val="Normal"/>
    <w:link w:val="Heading4Char"/>
    <w:uiPriority w:val="9"/>
    <w:unhideWhenUsed/>
    <w:rsid w:val="008237D6"/>
    <w:pPr>
      <w:keepNext/>
      <w:keepLines/>
      <w:spacing w:before="240"/>
      <w:outlineLvl w:val="3"/>
    </w:pPr>
    <w:rPr>
      <w:rFonts w:eastAsiaTheme="majorEastAsia" w:cstheme="majorBidi"/>
      <w:bCs/>
      <w:iCs/>
    </w:rPr>
  </w:style>
  <w:style w:type="paragraph" w:styleId="Heading5">
    <w:name w:val="heading 5"/>
    <w:basedOn w:val="Normal"/>
    <w:next w:val="Normal"/>
    <w:link w:val="Heading5Char"/>
    <w:uiPriority w:val="9"/>
    <w:semiHidden/>
    <w:unhideWhenUsed/>
    <w:qFormat/>
    <w:rsid w:val="008237D6"/>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inrckung">
    <w:name w:val="1. Einrückung"/>
    <w:basedOn w:val="Normal"/>
    <w:qFormat/>
    <w:rsid w:val="00676462"/>
    <w:pPr>
      <w:tabs>
        <w:tab w:val="left" w:pos="567"/>
      </w:tabs>
      <w:ind w:left="567" w:hanging="567"/>
    </w:pPr>
  </w:style>
  <w:style w:type="paragraph" w:customStyle="1" w:styleId="2Einrckung">
    <w:name w:val="2. Einrückung"/>
    <w:basedOn w:val="Normal"/>
    <w:uiPriority w:val="2"/>
    <w:qFormat/>
    <w:rsid w:val="00676462"/>
    <w:pPr>
      <w:tabs>
        <w:tab w:val="left" w:pos="567"/>
        <w:tab w:val="left" w:pos="1134"/>
      </w:tabs>
      <w:ind w:left="1134" w:hanging="567"/>
    </w:pPr>
  </w:style>
  <w:style w:type="paragraph" w:customStyle="1" w:styleId="3Einrckung">
    <w:name w:val="3. Einrückung"/>
    <w:basedOn w:val="Normal"/>
    <w:uiPriority w:val="2"/>
    <w:qFormat/>
    <w:rsid w:val="00676462"/>
    <w:pPr>
      <w:tabs>
        <w:tab w:val="left" w:pos="567"/>
        <w:tab w:val="left" w:pos="1134"/>
        <w:tab w:val="left" w:pos="1701"/>
      </w:tabs>
      <w:ind w:left="1701" w:hanging="567"/>
    </w:pPr>
  </w:style>
  <w:style w:type="paragraph" w:styleId="Footer">
    <w:name w:val="footer"/>
    <w:basedOn w:val="Normal"/>
    <w:link w:val="FooterChar"/>
    <w:uiPriority w:val="99"/>
    <w:unhideWhenUsed/>
    <w:rsid w:val="00676462"/>
    <w:pPr>
      <w:tabs>
        <w:tab w:val="center" w:pos="4536"/>
        <w:tab w:val="right" w:pos="9072"/>
      </w:tabs>
    </w:pPr>
  </w:style>
  <w:style w:type="character" w:customStyle="1" w:styleId="FooterChar">
    <w:name w:val="Footer Char"/>
    <w:basedOn w:val="DefaultParagraphFont"/>
    <w:link w:val="Footer"/>
    <w:uiPriority w:val="99"/>
    <w:rsid w:val="00676462"/>
    <w:rPr>
      <w:rFonts w:ascii="Arial" w:eastAsiaTheme="minorHAnsi" w:hAnsi="Arial"/>
      <w:lang w:eastAsia="en-US"/>
    </w:rPr>
  </w:style>
  <w:style w:type="paragraph" w:styleId="NoSpacing">
    <w:name w:val="No Spacing"/>
    <w:basedOn w:val="Normal"/>
    <w:uiPriority w:val="4"/>
    <w:unhideWhenUsed/>
    <w:rsid w:val="00676462"/>
  </w:style>
  <w:style w:type="paragraph" w:styleId="Header">
    <w:name w:val="header"/>
    <w:basedOn w:val="Normal"/>
    <w:link w:val="HeaderChar"/>
    <w:unhideWhenUsed/>
    <w:rsid w:val="00676462"/>
    <w:pPr>
      <w:tabs>
        <w:tab w:val="center" w:pos="4536"/>
        <w:tab w:val="right" w:pos="9072"/>
      </w:tabs>
    </w:pPr>
  </w:style>
  <w:style w:type="character" w:customStyle="1" w:styleId="HeaderChar">
    <w:name w:val="Header Char"/>
    <w:basedOn w:val="DefaultParagraphFont"/>
    <w:link w:val="Header"/>
    <w:rsid w:val="00676462"/>
    <w:rPr>
      <w:rFonts w:ascii="Arial" w:eastAsiaTheme="minorHAnsi" w:hAnsi="Arial"/>
      <w:lang w:eastAsia="en-US"/>
    </w:rPr>
  </w:style>
  <w:style w:type="character" w:styleId="PageNumber">
    <w:name w:val="page number"/>
    <w:basedOn w:val="DefaultParagraphFont"/>
    <w:semiHidden/>
    <w:unhideWhenUsed/>
    <w:rsid w:val="00676462"/>
  </w:style>
  <w:style w:type="paragraph" w:styleId="BalloonText">
    <w:name w:val="Balloon Text"/>
    <w:basedOn w:val="Normal"/>
    <w:link w:val="BalloonTextChar"/>
    <w:uiPriority w:val="99"/>
    <w:semiHidden/>
    <w:unhideWhenUsed/>
    <w:rsid w:val="00676462"/>
    <w:rPr>
      <w:rFonts w:ascii="Tahoma" w:hAnsi="Tahoma" w:cs="Tahoma"/>
      <w:sz w:val="16"/>
      <w:szCs w:val="16"/>
    </w:rPr>
  </w:style>
  <w:style w:type="character" w:customStyle="1" w:styleId="BalloonTextChar">
    <w:name w:val="Balloon Text Char"/>
    <w:basedOn w:val="DefaultParagraphFont"/>
    <w:link w:val="BalloonText"/>
    <w:uiPriority w:val="99"/>
    <w:semiHidden/>
    <w:rsid w:val="00676462"/>
    <w:rPr>
      <w:rFonts w:ascii="Tahoma" w:eastAsiaTheme="minorHAnsi" w:hAnsi="Tahoma" w:cs="Tahoma"/>
      <w:sz w:val="16"/>
      <w:szCs w:val="16"/>
      <w:lang w:eastAsia="en-US"/>
    </w:rPr>
  </w:style>
  <w:style w:type="table" w:styleId="TableGrid">
    <w:name w:val="Table Grid"/>
    <w:basedOn w:val="TableNormal"/>
    <w:rsid w:val="00676462"/>
    <w:pPr>
      <w:spacing w:after="0" w:line="240" w:lineRule="auto"/>
    </w:pPr>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1. Überschrift Char"/>
    <w:basedOn w:val="DefaultParagraphFont"/>
    <w:link w:val="Heading1"/>
    <w:uiPriority w:val="1"/>
    <w:rsid w:val="005B09AC"/>
    <w:rPr>
      <w:rFonts w:ascii="Arial" w:eastAsiaTheme="majorEastAsia" w:hAnsi="Arial" w:cstheme="majorBidi"/>
      <w:b/>
      <w:bCs/>
      <w:szCs w:val="28"/>
      <w:lang w:eastAsia="en-US"/>
    </w:rPr>
  </w:style>
  <w:style w:type="character" w:customStyle="1" w:styleId="Heading2Char">
    <w:name w:val="Heading 2 Char"/>
    <w:aliases w:val="2. Überschrift Char"/>
    <w:basedOn w:val="DefaultParagraphFont"/>
    <w:link w:val="Heading2"/>
    <w:uiPriority w:val="1"/>
    <w:rsid w:val="00E431FB"/>
    <w:rPr>
      <w:rFonts w:ascii="Arial" w:eastAsiaTheme="majorEastAsia" w:hAnsi="Arial" w:cstheme="majorBidi"/>
      <w:b/>
      <w:bCs/>
      <w:szCs w:val="26"/>
      <w:lang w:eastAsia="en-US"/>
    </w:rPr>
  </w:style>
  <w:style w:type="character" w:customStyle="1" w:styleId="Heading3Char">
    <w:name w:val="Heading 3 Char"/>
    <w:aliases w:val="3. Überschrift Char"/>
    <w:basedOn w:val="DefaultParagraphFont"/>
    <w:link w:val="Heading3"/>
    <w:uiPriority w:val="1"/>
    <w:rsid w:val="00676462"/>
    <w:rPr>
      <w:rFonts w:ascii="Arial" w:eastAsiaTheme="majorEastAsia" w:hAnsi="Arial" w:cstheme="majorBidi"/>
      <w:b/>
      <w:bCs/>
      <w:lang w:eastAsia="en-US"/>
    </w:rPr>
  </w:style>
  <w:style w:type="character" w:customStyle="1" w:styleId="Heading4Char">
    <w:name w:val="Heading 4 Char"/>
    <w:basedOn w:val="DefaultParagraphFont"/>
    <w:link w:val="Heading4"/>
    <w:uiPriority w:val="9"/>
    <w:rsid w:val="008237D6"/>
    <w:rPr>
      <w:rFonts w:ascii="Arial" w:eastAsiaTheme="majorEastAsia" w:hAnsi="Arial" w:cstheme="majorBidi"/>
      <w:bCs/>
      <w:iCs/>
      <w:lang w:eastAsia="en-US"/>
    </w:rPr>
  </w:style>
  <w:style w:type="paragraph" w:styleId="Title">
    <w:name w:val="Title"/>
    <w:basedOn w:val="Normal"/>
    <w:next w:val="Normal"/>
    <w:link w:val="TitleChar"/>
    <w:uiPriority w:val="10"/>
    <w:qFormat/>
    <w:rsid w:val="008237D6"/>
    <w:pPr>
      <w:contextualSpacing/>
    </w:pPr>
    <w:rPr>
      <w:rFonts w:ascii="Cambria" w:eastAsiaTheme="majorEastAsia" w:hAnsi="Cambria" w:cstheme="majorBidi"/>
      <w:spacing w:val="-10"/>
      <w:kern w:val="28"/>
      <w:sz w:val="56"/>
      <w:szCs w:val="56"/>
    </w:rPr>
  </w:style>
  <w:style w:type="character" w:customStyle="1" w:styleId="TitleChar">
    <w:name w:val="Title Char"/>
    <w:basedOn w:val="DefaultParagraphFont"/>
    <w:link w:val="Title"/>
    <w:uiPriority w:val="10"/>
    <w:rsid w:val="008237D6"/>
    <w:rPr>
      <w:rFonts w:ascii="Cambria" w:eastAsiaTheme="majorEastAsia" w:hAnsi="Cambria" w:cstheme="majorBidi"/>
      <w:spacing w:val="-10"/>
      <w:kern w:val="28"/>
      <w:sz w:val="56"/>
      <w:szCs w:val="56"/>
      <w:lang w:eastAsia="en-US"/>
    </w:rPr>
  </w:style>
  <w:style w:type="character" w:customStyle="1" w:styleId="Heading5Char">
    <w:name w:val="Heading 5 Char"/>
    <w:basedOn w:val="DefaultParagraphFont"/>
    <w:link w:val="Heading5"/>
    <w:uiPriority w:val="9"/>
    <w:semiHidden/>
    <w:rsid w:val="008237D6"/>
    <w:rPr>
      <w:rFonts w:asciiTheme="majorHAnsi" w:eastAsiaTheme="majorEastAsia" w:hAnsiTheme="majorHAnsi" w:cstheme="majorBidi"/>
      <w:color w:val="2E74B5" w:themeColor="accent1" w:themeShade="BF"/>
      <w:lang w:eastAsia="en-US"/>
    </w:rPr>
  </w:style>
  <w:style w:type="paragraph" w:styleId="ListParagraph">
    <w:name w:val="List Paragraph"/>
    <w:aliases w:val="DS List Section Style,Bullets,List Paragraph nowy,List Paragraph (numbered (a)),Liste 1,Table no. List Paragraph,Titulo 2,Report Para,Number Bullets,Resume Title,heading 4,Citation List,WinDForce-Letter,Ha,ANNEX,List Paragraph 1,List 100s"/>
    <w:basedOn w:val="Normal"/>
    <w:link w:val="ListParagraphChar"/>
    <w:uiPriority w:val="34"/>
    <w:qFormat/>
    <w:rsid w:val="00AD4D4A"/>
    <w:pPr>
      <w:ind w:left="720"/>
      <w:contextualSpacing/>
    </w:pPr>
  </w:style>
  <w:style w:type="paragraph" w:customStyle="1" w:styleId="ZulschenderText">
    <w:name w:val="Zu löschender Text"/>
    <w:basedOn w:val="Normal"/>
    <w:link w:val="ZulschenderTextZchn"/>
    <w:qFormat/>
    <w:rsid w:val="00E86BEF"/>
    <w:rPr>
      <w:i/>
      <w:color w:val="FF0000"/>
    </w:rPr>
  </w:style>
  <w:style w:type="paragraph" w:styleId="TOC2">
    <w:name w:val="toc 2"/>
    <w:basedOn w:val="Normal"/>
    <w:next w:val="Normal"/>
    <w:autoRedefine/>
    <w:uiPriority w:val="39"/>
    <w:unhideWhenUsed/>
    <w:rsid w:val="00C65AD4"/>
    <w:pPr>
      <w:tabs>
        <w:tab w:val="left" w:pos="1134"/>
        <w:tab w:val="right" w:leader="dot" w:pos="9061"/>
      </w:tabs>
      <w:spacing w:after="0"/>
      <w:ind w:left="1134" w:hanging="567"/>
    </w:pPr>
  </w:style>
  <w:style w:type="character" w:customStyle="1" w:styleId="ZulschenderTextZchn">
    <w:name w:val="Zu löschender Text Zchn"/>
    <w:basedOn w:val="DefaultParagraphFont"/>
    <w:link w:val="ZulschenderText"/>
    <w:rsid w:val="00E86BEF"/>
    <w:rPr>
      <w:rFonts w:ascii="Arial" w:hAnsi="Arial"/>
      <w:i/>
      <w:color w:val="FF0000"/>
      <w:lang w:eastAsia="en-US"/>
    </w:rPr>
  </w:style>
  <w:style w:type="paragraph" w:styleId="TOC1">
    <w:name w:val="toc 1"/>
    <w:basedOn w:val="Normal"/>
    <w:next w:val="Normal"/>
    <w:autoRedefine/>
    <w:uiPriority w:val="39"/>
    <w:unhideWhenUsed/>
    <w:rsid w:val="00B56FC9"/>
    <w:pPr>
      <w:tabs>
        <w:tab w:val="left" w:pos="567"/>
        <w:tab w:val="right" w:leader="dot" w:pos="9061"/>
      </w:tabs>
      <w:spacing w:before="240" w:after="0"/>
      <w:ind w:left="567" w:hanging="567"/>
    </w:pPr>
    <w:rPr>
      <w:bCs/>
    </w:rPr>
  </w:style>
  <w:style w:type="character" w:styleId="Hyperlink">
    <w:name w:val="Hyperlink"/>
    <w:basedOn w:val="DefaultParagraphFont"/>
    <w:uiPriority w:val="99"/>
    <w:unhideWhenUsed/>
    <w:rsid w:val="00B6676B"/>
    <w:rPr>
      <w:color w:val="0563C1" w:themeColor="hyperlink"/>
      <w:u w:val="single"/>
    </w:rPr>
  </w:style>
  <w:style w:type="paragraph" w:customStyle="1" w:styleId="ZwischenberschriftohneAbstand">
    <w:name w:val="Zwischenüberschrift ohne Abstand"/>
    <w:basedOn w:val="Normal"/>
    <w:next w:val="Normal"/>
    <w:link w:val="ZwischenberschriftohneAbstandZchn"/>
    <w:qFormat/>
    <w:rsid w:val="0030370B"/>
    <w:pPr>
      <w:keepNext/>
      <w:spacing w:after="0"/>
    </w:pPr>
  </w:style>
  <w:style w:type="paragraph" w:customStyle="1" w:styleId="ZwischenberschriftmitAbstand">
    <w:name w:val="Zwischenüberschrift mit Abstand"/>
    <w:basedOn w:val="Normal"/>
    <w:next w:val="Normal"/>
    <w:link w:val="ZwischenberschriftmitAbstandZchn"/>
    <w:qFormat/>
    <w:rsid w:val="00B70158"/>
    <w:pPr>
      <w:keepNext/>
    </w:pPr>
  </w:style>
  <w:style w:type="character" w:customStyle="1" w:styleId="ZwischenberschriftohneAbstandZchn">
    <w:name w:val="Zwischenüberschrift ohne Abstand Zchn"/>
    <w:basedOn w:val="DefaultParagraphFont"/>
    <w:link w:val="ZwischenberschriftohneAbstand"/>
    <w:rsid w:val="0030370B"/>
    <w:rPr>
      <w:rFonts w:ascii="Arial" w:hAnsi="Arial"/>
      <w:lang w:eastAsia="en-US"/>
    </w:rPr>
  </w:style>
  <w:style w:type="character" w:customStyle="1" w:styleId="ZwischenberschriftmitAbstandZchn">
    <w:name w:val="Zwischenüberschrift mit Abstand Zchn"/>
    <w:basedOn w:val="DefaultParagraphFont"/>
    <w:link w:val="ZwischenberschriftmitAbstand"/>
    <w:rsid w:val="00B70158"/>
    <w:rPr>
      <w:rFonts w:ascii="Arial" w:hAnsi="Arial"/>
      <w:lang w:eastAsia="en-US"/>
    </w:rPr>
  </w:style>
  <w:style w:type="paragraph" w:styleId="TOC3">
    <w:name w:val="toc 3"/>
    <w:basedOn w:val="Normal"/>
    <w:next w:val="Normal"/>
    <w:autoRedefine/>
    <w:uiPriority w:val="39"/>
    <w:semiHidden/>
    <w:unhideWhenUsed/>
    <w:rsid w:val="0019640D"/>
    <w:pPr>
      <w:spacing w:after="100"/>
    </w:pPr>
  </w:style>
  <w:style w:type="paragraph" w:styleId="TOC4">
    <w:name w:val="toc 4"/>
    <w:basedOn w:val="Normal"/>
    <w:next w:val="Normal"/>
    <w:autoRedefine/>
    <w:uiPriority w:val="39"/>
    <w:semiHidden/>
    <w:unhideWhenUsed/>
    <w:rsid w:val="0019640D"/>
    <w:pPr>
      <w:spacing w:after="100"/>
    </w:pPr>
  </w:style>
  <w:style w:type="character" w:styleId="CommentReference">
    <w:name w:val="annotation reference"/>
    <w:uiPriority w:val="99"/>
    <w:semiHidden/>
    <w:unhideWhenUsed/>
    <w:rPr>
      <w:sz w:val="16"/>
      <w:szCs w:val="16"/>
    </w:rPr>
  </w:style>
  <w:style w:type="paragraph" w:styleId="CommentText">
    <w:name w:val="annotation text"/>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sid w:val="00EC5936"/>
    <w:rPr>
      <w:rFonts w:ascii="Arial" w:hAnsi="Arial"/>
      <w:sz w:val="20"/>
      <w:szCs w:val="20"/>
      <w:lang w:eastAsia="en-US"/>
    </w:rPr>
  </w:style>
  <w:style w:type="paragraph" w:styleId="CommentSubject">
    <w:name w:val="annotation subject"/>
    <w:basedOn w:val="CommentText"/>
    <w:next w:val="CommentText"/>
    <w:link w:val="CommentSubjectChar"/>
    <w:uiPriority w:val="99"/>
    <w:semiHidden/>
    <w:unhideWhenUsed/>
    <w:rsid w:val="00EC5936"/>
    <w:rPr>
      <w:b/>
      <w:bCs/>
    </w:rPr>
  </w:style>
  <w:style w:type="character" w:customStyle="1" w:styleId="CommentSubjectChar">
    <w:name w:val="Comment Subject Char"/>
    <w:basedOn w:val="CommentTextChar"/>
    <w:link w:val="CommentSubject"/>
    <w:uiPriority w:val="99"/>
    <w:semiHidden/>
    <w:rsid w:val="00EC5936"/>
    <w:rPr>
      <w:rFonts w:ascii="Arial" w:hAnsi="Arial"/>
      <w:b/>
      <w:bCs/>
      <w:sz w:val="20"/>
      <w:szCs w:val="20"/>
      <w:lang w:eastAsia="en-US"/>
    </w:rPr>
  </w:style>
  <w:style w:type="paragraph" w:styleId="Revision">
    <w:name w:val="Revision"/>
    <w:hidden/>
    <w:uiPriority w:val="99"/>
    <w:semiHidden/>
    <w:rsid w:val="000271C9"/>
    <w:pPr>
      <w:spacing w:after="0" w:line="240" w:lineRule="auto"/>
    </w:pPr>
    <w:rPr>
      <w:rFonts w:ascii="Arial" w:hAnsi="Arial"/>
      <w:lang w:eastAsia="en-US"/>
    </w:rPr>
  </w:style>
  <w:style w:type="paragraph" w:customStyle="1" w:styleId="Default">
    <w:name w:val="Default"/>
    <w:rsid w:val="00354A72"/>
    <w:pPr>
      <w:autoSpaceDE w:val="0"/>
      <w:autoSpaceDN w:val="0"/>
      <w:adjustRightInd w:val="0"/>
      <w:spacing w:after="0" w:line="240" w:lineRule="auto"/>
    </w:pPr>
    <w:rPr>
      <w:rFonts w:ascii="Arial" w:hAnsi="Arial" w:cs="Arial"/>
      <w:color w:val="000000"/>
      <w:sz w:val="24"/>
      <w:szCs w:val="24"/>
    </w:rPr>
  </w:style>
  <w:style w:type="character" w:customStyle="1" w:styleId="NichtaufgelsteErwhnung1">
    <w:name w:val="Nicht aufgelöste Erwähnung1"/>
    <w:basedOn w:val="DefaultParagraphFont"/>
    <w:uiPriority w:val="99"/>
    <w:semiHidden/>
    <w:unhideWhenUsed/>
    <w:rsid w:val="002A43F0"/>
    <w:rPr>
      <w:color w:val="605E5C"/>
      <w:shd w:val="clear" w:color="auto" w:fill="E1DFDD"/>
    </w:rPr>
  </w:style>
  <w:style w:type="character" w:styleId="FollowedHyperlink">
    <w:name w:val="FollowedHyperlink"/>
    <w:basedOn w:val="DefaultParagraphFont"/>
    <w:uiPriority w:val="99"/>
    <w:semiHidden/>
    <w:unhideWhenUsed/>
    <w:rsid w:val="002A43F0"/>
    <w:rPr>
      <w:color w:val="954F72" w:themeColor="followedHyperlink"/>
      <w:u w:val="single"/>
    </w:rPr>
  </w:style>
  <w:style w:type="character" w:customStyle="1" w:styleId="normaltextrun">
    <w:name w:val="normaltextrun"/>
    <w:basedOn w:val="DefaultParagraphFont"/>
    <w:rsid w:val="002A43F0"/>
  </w:style>
  <w:style w:type="paragraph" w:styleId="NormalWeb">
    <w:name w:val="Normal (Web)"/>
    <w:basedOn w:val="Normal"/>
    <w:uiPriority w:val="99"/>
    <w:semiHidden/>
    <w:unhideWhenUsed/>
    <w:rsid w:val="002A43F0"/>
    <w:pPr>
      <w:spacing w:before="100" w:beforeAutospacing="1" w:after="100" w:afterAutospacing="1"/>
    </w:pPr>
    <w:rPr>
      <w:rFonts w:ascii="Times New Roman" w:eastAsia="Times New Roman" w:hAnsi="Times New Roman" w:cs="Times New Roman"/>
      <w:sz w:val="24"/>
      <w:szCs w:val="24"/>
      <w:lang w:eastAsia="de-DE"/>
    </w:rPr>
  </w:style>
  <w:style w:type="character" w:styleId="PlaceholderText">
    <w:name w:val="Placeholder Text"/>
    <w:basedOn w:val="DefaultParagraphFont"/>
    <w:uiPriority w:val="99"/>
    <w:semiHidden/>
    <w:rsid w:val="001E144E"/>
    <w:rPr>
      <w:color w:val="808080"/>
    </w:rPr>
  </w:style>
  <w:style w:type="character" w:styleId="UnresolvedMention">
    <w:name w:val="Unresolved Mention"/>
    <w:basedOn w:val="DefaultParagraphFont"/>
    <w:uiPriority w:val="99"/>
    <w:semiHidden/>
    <w:unhideWhenUsed/>
    <w:rsid w:val="00910729"/>
    <w:rPr>
      <w:color w:val="605E5C"/>
      <w:shd w:val="clear" w:color="auto" w:fill="E1DFDD"/>
    </w:rPr>
  </w:style>
  <w:style w:type="character" w:customStyle="1" w:styleId="ListParagraphChar">
    <w:name w:val="List Paragraph Char"/>
    <w:aliases w:val="DS List Section Style Char,Bullets Char,List Paragraph nowy Char,List Paragraph (numbered (a)) Char,Liste 1 Char,Table no. List Paragraph Char,Titulo 2 Char,Report Para Char,Number Bullets Char,Resume Title Char,heading 4 Char"/>
    <w:link w:val="ListParagraph"/>
    <w:uiPriority w:val="34"/>
    <w:qFormat/>
    <w:locked/>
    <w:rsid w:val="00895067"/>
    <w:rPr>
      <w:rFonts w:ascii="Arial" w:hAnsi="Arial"/>
      <w:lang w:eastAsia="en-US"/>
    </w:rPr>
  </w:style>
  <w:style w:type="paragraph" w:styleId="FootnoteText">
    <w:name w:val="footnote text"/>
    <w:basedOn w:val="Normal"/>
    <w:link w:val="FootnoteTextChar"/>
    <w:uiPriority w:val="99"/>
    <w:unhideWhenUsed/>
    <w:rsid w:val="00274610"/>
    <w:pPr>
      <w:spacing w:after="0"/>
    </w:pPr>
    <w:rPr>
      <w:rFonts w:eastAsia="Times New Roman" w:cs="Times New Roman"/>
      <w:sz w:val="20"/>
      <w:szCs w:val="20"/>
      <w:lang w:eastAsia="de-DE"/>
    </w:rPr>
  </w:style>
  <w:style w:type="character" w:customStyle="1" w:styleId="FootnoteTextChar">
    <w:name w:val="Footnote Text Char"/>
    <w:basedOn w:val="DefaultParagraphFont"/>
    <w:link w:val="FootnoteText"/>
    <w:uiPriority w:val="99"/>
    <w:rsid w:val="00274610"/>
    <w:rPr>
      <w:rFonts w:ascii="Arial" w:eastAsia="Times New Roman" w:hAnsi="Arial"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7461351">
      <w:bodyDiv w:val="1"/>
      <w:marLeft w:val="0"/>
      <w:marRight w:val="0"/>
      <w:marTop w:val="0"/>
      <w:marBottom w:val="0"/>
      <w:divBdr>
        <w:top w:val="none" w:sz="0" w:space="0" w:color="auto"/>
        <w:left w:val="none" w:sz="0" w:space="0" w:color="auto"/>
        <w:bottom w:val="none" w:sz="0" w:space="0" w:color="auto"/>
        <w:right w:val="none" w:sz="0" w:space="0" w:color="auto"/>
      </w:divBdr>
      <w:divsChild>
        <w:div w:id="91708444">
          <w:marLeft w:val="0"/>
          <w:marRight w:val="0"/>
          <w:marTop w:val="0"/>
          <w:marBottom w:val="0"/>
          <w:divBdr>
            <w:top w:val="none" w:sz="0" w:space="0" w:color="auto"/>
            <w:left w:val="none" w:sz="0" w:space="0" w:color="auto"/>
            <w:bottom w:val="none" w:sz="0" w:space="0" w:color="auto"/>
            <w:right w:val="none" w:sz="0" w:space="0" w:color="auto"/>
          </w:divBdr>
        </w:div>
        <w:div w:id="1244755005">
          <w:marLeft w:val="0"/>
          <w:marRight w:val="0"/>
          <w:marTop w:val="0"/>
          <w:marBottom w:val="0"/>
          <w:divBdr>
            <w:top w:val="none" w:sz="0" w:space="0" w:color="auto"/>
            <w:left w:val="none" w:sz="0" w:space="0" w:color="auto"/>
            <w:bottom w:val="none" w:sz="0" w:space="0" w:color="auto"/>
            <w:right w:val="none" w:sz="0" w:space="0" w:color="auto"/>
          </w:divBdr>
        </w:div>
        <w:div w:id="1348172600">
          <w:marLeft w:val="0"/>
          <w:marRight w:val="0"/>
          <w:marTop w:val="0"/>
          <w:marBottom w:val="0"/>
          <w:divBdr>
            <w:top w:val="none" w:sz="0" w:space="0" w:color="auto"/>
            <w:left w:val="none" w:sz="0" w:space="0" w:color="auto"/>
            <w:bottom w:val="none" w:sz="0" w:space="0" w:color="auto"/>
            <w:right w:val="none" w:sz="0" w:space="0" w:color="auto"/>
          </w:divBdr>
        </w:div>
      </w:divsChild>
    </w:div>
    <w:div w:id="154444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shis_arm\AppData\Local\Microsoft\Windows\INetCache\Content.Outlook\78JIXRO1\41-14-tor-vertraege-unter-eu-schwellenwert-en%20(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cb4d3d7b-69bf-431e-8a6e-688f3d2ad37d">
      <UserInfo>
        <DisplayName>Feiereisen, Philipp GIZ</DisplayName>
        <AccountId>7</AccountId>
        <AccountType/>
      </UserInfo>
    </SharedWithUsers>
    <_activity xmlns="31fa9bbf-caa8-4603-9160-5c0ab3856c4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3C2625F4419ED43B53DCDE73A40BD5A" ma:contentTypeVersion="16" ma:contentTypeDescription="Ein neues Dokument erstellen." ma:contentTypeScope="" ma:versionID="3a5beeb424cc0fe7d28b17ebdcd0834e">
  <xsd:schema xmlns:xsd="http://www.w3.org/2001/XMLSchema" xmlns:xs="http://www.w3.org/2001/XMLSchema" xmlns:p="http://schemas.microsoft.com/office/2006/metadata/properties" xmlns:ns3="cb4d3d7b-69bf-431e-8a6e-688f3d2ad37d" xmlns:ns4="31fa9bbf-caa8-4603-9160-5c0ab3856c49" targetNamespace="http://schemas.microsoft.com/office/2006/metadata/properties" ma:root="true" ma:fieldsID="85b2cd430b84fe77395bace55f4d0908" ns3:_="" ns4:_="">
    <xsd:import namespace="cb4d3d7b-69bf-431e-8a6e-688f3d2ad37d"/>
    <xsd:import namespace="31fa9bbf-caa8-4603-9160-5c0ab3856c4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_activity" minOccurs="0"/>
                <xsd:element ref="ns4:MediaServiceObjectDetectorVersions" minOccurs="0"/>
                <xsd:element ref="ns4:MediaServiceSystemTags" minOccurs="0"/>
                <xsd:element ref="ns4:MediaServiceLocation" minOccurs="0"/>
                <xsd:element ref="ns4:MediaLengthInSecond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4d3d7b-69bf-431e-8a6e-688f3d2ad37d"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fa9bbf-caa8-4603-9160-5c0ab3856c4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8B5B1-58AE-4C78-BB73-8DCD7177348A}">
  <ds:schemaRefs>
    <ds:schemaRef ds:uri="http://schemas.microsoft.com/sharepoint/v3/contenttype/forms"/>
  </ds:schemaRefs>
</ds:datastoreItem>
</file>

<file path=customXml/itemProps2.xml><?xml version="1.0" encoding="utf-8"?>
<ds:datastoreItem xmlns:ds="http://schemas.openxmlformats.org/officeDocument/2006/customXml" ds:itemID="{EF6927B6-3CEC-491A-9AE8-9C2615320F0E}">
  <ds:schemaRefs>
    <ds:schemaRef ds:uri="http://schemas.microsoft.com/office/2006/metadata/properties"/>
    <ds:schemaRef ds:uri="http://schemas.microsoft.com/office/infopath/2007/PartnerControls"/>
    <ds:schemaRef ds:uri="cb4d3d7b-69bf-431e-8a6e-688f3d2ad37d"/>
    <ds:schemaRef ds:uri="31fa9bbf-caa8-4603-9160-5c0ab3856c49"/>
  </ds:schemaRefs>
</ds:datastoreItem>
</file>

<file path=customXml/itemProps3.xml><?xml version="1.0" encoding="utf-8"?>
<ds:datastoreItem xmlns:ds="http://schemas.openxmlformats.org/officeDocument/2006/customXml" ds:itemID="{AB90D747-148A-4837-BA20-79724709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4d3d7b-69bf-431e-8a6e-688f3d2ad37d"/>
    <ds:schemaRef ds:uri="31fa9bbf-caa8-4603-9160-5c0ab3856c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710BB6-410F-462A-94D9-71A1C54F7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41-14-tor-vertraege-unter-eu-schwellenwert-en (2)</Template>
  <TotalTime>0</TotalTime>
  <Pages>8</Pages>
  <Words>2332</Words>
  <Characters>13298</Characters>
  <Application>Microsoft Office Word</Application>
  <DocSecurity>0</DocSecurity>
  <Lines>110</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41-14-4, Leistungsbeschreibung (ToR) für die Beschaffung von Dienstleistungen unterhalb des EU Schwellenwertes, deutsch, Stand März 2024</vt:lpstr>
      <vt:lpstr>41-14-4, Leistungsbeschreibung (ToR) für die Beschaffung von Dienstleistungen unterhalb des EU Schwellenwertes, deutsch, Stand März 2024</vt:lpstr>
    </vt:vector>
  </TitlesOfParts>
  <Company>GIZ GmbH</Company>
  <LinksUpToDate>false</LinksUpToDate>
  <CharactersWithSpaces>15599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41-14-4, Leistungsbeschreibung (ToR) für die Beschaffung von Dienstleistungen unterhalb des EU Schwellenwertes, deutsch, Stand März 2024</dc:title>
  <dc:subject/>
  <dc:creator>Benedikt Wimbauer</dc:creator>
  <cp:keywords/>
  <dc:description/>
  <cp:lastModifiedBy>Nikoghosyan, Liana GIZ AM</cp:lastModifiedBy>
  <cp:revision>9</cp:revision>
  <cp:lastPrinted>2018-06-01T07:44:00Z</cp:lastPrinted>
  <dcterms:created xsi:type="dcterms:W3CDTF">2024-07-31T08:59:00Z</dcterms:created>
  <dcterms:modified xsi:type="dcterms:W3CDTF">2024-08-02T11:56:00Z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0x010100D3C2625F4419ED43B53DCDE73A40BD5A</vt:lpwstr>
  </property>
</Properties>
</file>