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B0E8" w14:textId="77777777" w:rsidR="00B42365" w:rsidRDefault="0070323F">
      <w:pPr>
        <w:pStyle w:val="Body"/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Terms of Reference</w:t>
      </w:r>
    </w:p>
    <w:p w14:paraId="3B986C7A" w14:textId="02747340" w:rsidR="00B42365" w:rsidRDefault="004656F3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Graphic Designer</w:t>
      </w:r>
    </w:p>
    <w:p w14:paraId="61866700" w14:textId="77777777" w:rsidR="00B42365" w:rsidRDefault="00B42365">
      <w:pPr>
        <w:pStyle w:val="Body"/>
        <w:spacing w:after="200" w:line="240" w:lineRule="auto"/>
        <w:jc w:val="both"/>
        <w:rPr>
          <w:sz w:val="24"/>
          <w:szCs w:val="24"/>
        </w:rPr>
      </w:pPr>
    </w:p>
    <w:p w14:paraId="50974380" w14:textId="6EEEA4AA" w:rsidR="009B125D" w:rsidRDefault="00DD7A57" w:rsidP="009B125D">
      <w:pPr>
        <w:pStyle w:val="Body"/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EU-funded Katapult Creative Accelerator Program, implemented by AGBU Armenia in collaboration with Creative Armenia, is </w:t>
      </w:r>
      <w:r w:rsidR="004656F3">
        <w:rPr>
          <w:sz w:val="24"/>
          <w:szCs w:val="24"/>
        </w:rPr>
        <w:t xml:space="preserve">in search of </w:t>
      </w:r>
      <w:r w:rsidR="009B125D">
        <w:rPr>
          <w:sz w:val="24"/>
          <w:szCs w:val="24"/>
        </w:rPr>
        <w:t xml:space="preserve">a </w:t>
      </w:r>
      <w:r w:rsidR="009B125D" w:rsidRPr="009B125D">
        <w:rPr>
          <w:b/>
          <w:bCs/>
          <w:sz w:val="24"/>
          <w:szCs w:val="24"/>
        </w:rPr>
        <w:t>Graphic Designer</w:t>
      </w:r>
      <w:r w:rsidR="009B125D">
        <w:rPr>
          <w:sz w:val="24"/>
          <w:szCs w:val="24"/>
        </w:rPr>
        <w:t xml:space="preserve"> to design our research report on </w:t>
      </w:r>
      <w:r w:rsidR="004656F3">
        <w:rPr>
          <w:sz w:val="24"/>
          <w:szCs w:val="24"/>
        </w:rPr>
        <w:t xml:space="preserve">Armenia’s </w:t>
      </w:r>
      <w:r w:rsidR="009B125D">
        <w:rPr>
          <w:sz w:val="24"/>
          <w:szCs w:val="24"/>
        </w:rPr>
        <w:t>Cultural and Creative Industries</w:t>
      </w:r>
      <w:r w:rsidR="004656F3">
        <w:rPr>
          <w:sz w:val="24"/>
          <w:szCs w:val="24"/>
        </w:rPr>
        <w:t>.</w:t>
      </w:r>
      <w:r w:rsidR="009B125D">
        <w:rPr>
          <w:sz w:val="24"/>
          <w:szCs w:val="24"/>
        </w:rPr>
        <w:t xml:space="preserve"> </w:t>
      </w:r>
      <w:r w:rsidR="004656F3">
        <w:rPr>
          <w:sz w:val="24"/>
          <w:szCs w:val="24"/>
        </w:rPr>
        <w:t>The p</w:t>
      </w:r>
      <w:r w:rsidR="009B125D">
        <w:rPr>
          <w:sz w:val="24"/>
          <w:szCs w:val="24"/>
        </w:rPr>
        <w:t xml:space="preserve">rocurement </w:t>
      </w:r>
      <w:r w:rsidR="004656F3">
        <w:rPr>
          <w:sz w:val="24"/>
          <w:szCs w:val="24"/>
        </w:rPr>
        <w:t>task involves</w:t>
      </w:r>
      <w:r>
        <w:rPr>
          <w:sz w:val="24"/>
          <w:szCs w:val="24"/>
        </w:rPr>
        <w:t xml:space="preserve"> designing two versions of th</w:t>
      </w:r>
      <w:r w:rsidR="004656F3">
        <w:rPr>
          <w:sz w:val="24"/>
          <w:szCs w:val="24"/>
        </w:rPr>
        <w:t>is</w:t>
      </w:r>
      <w:r>
        <w:rPr>
          <w:sz w:val="24"/>
          <w:szCs w:val="24"/>
        </w:rPr>
        <w:t xml:space="preserve"> approximately 1</w:t>
      </w:r>
      <w:r w:rsidR="004656F3">
        <w:rPr>
          <w:sz w:val="24"/>
          <w:szCs w:val="24"/>
        </w:rPr>
        <w:t>10-</w:t>
      </w:r>
      <w:r>
        <w:rPr>
          <w:sz w:val="24"/>
          <w:szCs w:val="24"/>
        </w:rPr>
        <w:t xml:space="preserve">page report: one </w:t>
      </w:r>
      <w:r w:rsidR="004656F3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digital </w:t>
      </w:r>
      <w:r w:rsidR="004656F3">
        <w:rPr>
          <w:sz w:val="24"/>
          <w:szCs w:val="24"/>
        </w:rPr>
        <w:t>use</w:t>
      </w:r>
      <w:r>
        <w:rPr>
          <w:sz w:val="24"/>
          <w:szCs w:val="24"/>
        </w:rPr>
        <w:t xml:space="preserve"> and </w:t>
      </w:r>
      <w:r w:rsidR="004656F3">
        <w:rPr>
          <w:sz w:val="24"/>
          <w:szCs w:val="24"/>
        </w:rPr>
        <w:t>the other as a printed publication</w:t>
      </w:r>
      <w:r>
        <w:rPr>
          <w:sz w:val="24"/>
          <w:szCs w:val="24"/>
        </w:rPr>
        <w:t xml:space="preserve">. Each version will </w:t>
      </w:r>
      <w:r w:rsidR="004656F3">
        <w:rPr>
          <w:sz w:val="24"/>
          <w:szCs w:val="24"/>
        </w:rPr>
        <w:t>also require a separate version each for Armenian and for English</w:t>
      </w:r>
      <w:r>
        <w:rPr>
          <w:sz w:val="24"/>
          <w:szCs w:val="24"/>
        </w:rPr>
        <w:t>.</w:t>
      </w:r>
    </w:p>
    <w:p w14:paraId="56056196" w14:textId="334ACE6E" w:rsidR="009B125D" w:rsidRDefault="004656F3" w:rsidP="009B125D">
      <w:pPr>
        <w:pStyle w:val="Body"/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m</w:t>
      </w:r>
      <w:r w:rsidR="009B125D">
        <w:rPr>
          <w:sz w:val="24"/>
          <w:szCs w:val="24"/>
        </w:rPr>
        <w:t xml:space="preserve">aterials </w:t>
      </w:r>
      <w:r w:rsidR="00DD7A57">
        <w:rPr>
          <w:sz w:val="24"/>
          <w:szCs w:val="24"/>
        </w:rPr>
        <w:t xml:space="preserve">to be designed, </w:t>
      </w:r>
      <w:r w:rsidR="009B125D">
        <w:rPr>
          <w:sz w:val="24"/>
          <w:szCs w:val="24"/>
        </w:rPr>
        <w:t>will be</w:t>
      </w:r>
      <w:r>
        <w:rPr>
          <w:sz w:val="24"/>
          <w:szCs w:val="24"/>
        </w:rPr>
        <w:t xml:space="preserve">come </w:t>
      </w:r>
      <w:r w:rsidR="009B125D">
        <w:rPr>
          <w:sz w:val="24"/>
          <w:szCs w:val="24"/>
        </w:rPr>
        <w:t>available sometime between November 1</w:t>
      </w:r>
      <w:r>
        <w:rPr>
          <w:sz w:val="24"/>
          <w:szCs w:val="24"/>
        </w:rPr>
        <w:t>-</w:t>
      </w:r>
      <w:r w:rsidR="009B125D">
        <w:rPr>
          <w:sz w:val="24"/>
          <w:szCs w:val="24"/>
        </w:rPr>
        <w:t xml:space="preserve">15, with a deadline for a first draft of design </w:t>
      </w:r>
      <w:r>
        <w:rPr>
          <w:sz w:val="24"/>
          <w:szCs w:val="24"/>
        </w:rPr>
        <w:t>set for</w:t>
      </w:r>
      <w:r w:rsidR="009B125D">
        <w:rPr>
          <w:sz w:val="24"/>
          <w:szCs w:val="24"/>
        </w:rPr>
        <w:t xml:space="preserve"> December 1</w:t>
      </w:r>
      <w:r w:rsidR="009B125D" w:rsidRPr="009B125D">
        <w:rPr>
          <w:sz w:val="24"/>
          <w:szCs w:val="24"/>
          <w:vertAlign w:val="superscript"/>
        </w:rPr>
        <w:t>st</w:t>
      </w:r>
      <w:r w:rsidR="009B125D">
        <w:rPr>
          <w:sz w:val="24"/>
          <w:szCs w:val="24"/>
        </w:rPr>
        <w:t xml:space="preserve">. </w:t>
      </w:r>
      <w:r>
        <w:rPr>
          <w:sz w:val="24"/>
          <w:szCs w:val="24"/>
        </w:rPr>
        <w:t>The</w:t>
      </w:r>
      <w:r w:rsidR="00DD7A57">
        <w:rPr>
          <w:sz w:val="24"/>
          <w:szCs w:val="24"/>
        </w:rPr>
        <w:t xml:space="preserve"> second draft design</w:t>
      </w:r>
      <w:r>
        <w:rPr>
          <w:sz w:val="24"/>
          <w:szCs w:val="24"/>
        </w:rPr>
        <w:t>, incorporating edit, must be completed by</w:t>
      </w:r>
      <w:r w:rsidR="00DD7A57">
        <w:rPr>
          <w:sz w:val="24"/>
          <w:szCs w:val="24"/>
        </w:rPr>
        <w:t xml:space="preserve"> December 15</w:t>
      </w:r>
      <w:r w:rsidRPr="004656F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AFCD57E" w14:textId="77777777" w:rsidR="009B125D" w:rsidRDefault="009B125D">
      <w:pPr>
        <w:pStyle w:val="Body"/>
        <w:spacing w:after="120" w:line="240" w:lineRule="auto"/>
        <w:jc w:val="both"/>
        <w:rPr>
          <w:sz w:val="24"/>
          <w:szCs w:val="24"/>
        </w:rPr>
      </w:pPr>
    </w:p>
    <w:p w14:paraId="0EAFD2A9" w14:textId="406C6822" w:rsidR="00B42365" w:rsidRDefault="0070323F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About Katapult:</w:t>
      </w:r>
      <w:r w:rsidR="00E94446">
        <w:rPr>
          <w:b/>
          <w:bCs/>
          <w:sz w:val="24"/>
          <w:szCs w:val="24"/>
          <w:u w:val="single"/>
        </w:rPr>
        <w:t xml:space="preserve"> </w:t>
      </w:r>
    </w:p>
    <w:p w14:paraId="0A315DB0" w14:textId="18C6BC09" w:rsidR="00B42365" w:rsidRDefault="0070323F"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Katapult is a program to catalyze Armenia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 xml:space="preserve">s creative economy. Its core activities are designed to promote, invest in, and connect the creative and cultural </w:t>
      </w:r>
      <w:r w:rsidR="00E94446">
        <w:rPr>
          <w:sz w:val="24"/>
          <w:szCs w:val="24"/>
        </w:rPr>
        <w:t xml:space="preserve">sectors </w:t>
      </w:r>
      <w:r>
        <w:rPr>
          <w:sz w:val="24"/>
          <w:szCs w:val="24"/>
        </w:rPr>
        <w:t>in order to</w:t>
      </w:r>
      <w:r w:rsidR="004656F3">
        <w:rPr>
          <w:sz w:val="24"/>
          <w:szCs w:val="24"/>
        </w:rPr>
        <w:t xml:space="preserve"> </w:t>
      </w:r>
      <w:r w:rsidR="0032710A">
        <w:rPr>
          <w:sz w:val="24"/>
          <w:szCs w:val="24"/>
        </w:rPr>
        <w:t>empower</w:t>
      </w:r>
      <w:r w:rsidR="004656F3">
        <w:rPr>
          <w:sz w:val="24"/>
          <w:szCs w:val="24"/>
        </w:rPr>
        <w:t xml:space="preserve"> </w:t>
      </w:r>
      <w:r>
        <w:rPr>
          <w:sz w:val="24"/>
          <w:szCs w:val="24"/>
        </w:rPr>
        <w:t>cultural infrastructure and improve overall sustainability. The program includes five key components: </w:t>
      </w:r>
    </w:p>
    <w:p w14:paraId="22E3D692" w14:textId="3D98254E" w:rsidR="00B42365" w:rsidRDefault="004656F3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323F">
        <w:rPr>
          <w:sz w:val="24"/>
          <w:szCs w:val="24"/>
        </w:rPr>
        <w:t xml:space="preserve">n incubator for culture called </w:t>
      </w:r>
      <w:r w:rsidR="0070323F">
        <w:rPr>
          <w:sz w:val="24"/>
          <w:szCs w:val="24"/>
          <w:rtl/>
          <w:lang w:val="ar-SA"/>
        </w:rPr>
        <w:t>“</w:t>
      </w:r>
      <w:proofErr w:type="spellStart"/>
      <w:r w:rsidR="0070323F">
        <w:rPr>
          <w:sz w:val="24"/>
          <w:szCs w:val="24"/>
        </w:rPr>
        <w:t>Artbox</w:t>
      </w:r>
      <w:proofErr w:type="spellEnd"/>
      <w:r w:rsidR="0070323F">
        <w:rPr>
          <w:sz w:val="24"/>
          <w:szCs w:val="24"/>
        </w:rPr>
        <w:t>”</w:t>
      </w:r>
    </w:p>
    <w:p w14:paraId="19AB6A45" w14:textId="62623D77" w:rsidR="00B42365" w:rsidRDefault="004656F3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0323F">
        <w:rPr>
          <w:sz w:val="24"/>
          <w:szCs w:val="24"/>
        </w:rPr>
        <w:t>he development of cross-sector initiatives to promote CCI service design within the finance, legal and logistics sectors</w:t>
      </w:r>
    </w:p>
    <w:p w14:paraId="60189AA1" w14:textId="77777777" w:rsidR="00B42365" w:rsidRDefault="0070323F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Showcase Events, to promote and invest in culture</w:t>
      </w:r>
    </w:p>
    <w:p w14:paraId="2AF0E9DB" w14:textId="43EC52E7" w:rsidR="00B42365" w:rsidRDefault="0070323F">
      <w:pPr>
        <w:pStyle w:val="Body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 w:rsidR="004656F3">
        <w:rPr>
          <w:sz w:val="24"/>
          <w:szCs w:val="24"/>
        </w:rPr>
        <w:t>vest in in</w:t>
      </w:r>
      <w:r>
        <w:rPr>
          <w:sz w:val="24"/>
          <w:szCs w:val="24"/>
        </w:rPr>
        <w:t>frastructure, including institutional grants &amp; the opening of a Fab</w:t>
      </w:r>
      <w:r w:rsidR="00E94446">
        <w:rPr>
          <w:sz w:val="24"/>
          <w:szCs w:val="24"/>
        </w:rPr>
        <w:t xml:space="preserve"> L</w:t>
      </w:r>
      <w:r>
        <w:rPr>
          <w:sz w:val="24"/>
          <w:szCs w:val="24"/>
        </w:rPr>
        <w:t>ab in a cultural setting</w:t>
      </w:r>
    </w:p>
    <w:p w14:paraId="77484874" w14:textId="7BBF413D" w:rsidR="00B42365" w:rsidRDefault="0070323F">
      <w:pPr>
        <w:pStyle w:val="Body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establishment of a Cultural </w:t>
      </w:r>
      <w:r w:rsidR="004656F3">
        <w:rPr>
          <w:sz w:val="24"/>
          <w:szCs w:val="24"/>
        </w:rPr>
        <w:t xml:space="preserve">and Creative </w:t>
      </w:r>
      <w:r>
        <w:rPr>
          <w:sz w:val="24"/>
          <w:szCs w:val="24"/>
        </w:rPr>
        <w:t>Industries Council and online platform to unify and empower the sector</w:t>
      </w:r>
    </w:p>
    <w:p w14:paraId="2B107870" w14:textId="77777777" w:rsidR="00B42365" w:rsidRDefault="00B42365">
      <w:pPr>
        <w:pStyle w:val="Body"/>
        <w:spacing w:after="120" w:line="240" w:lineRule="auto"/>
        <w:jc w:val="both"/>
        <w:rPr>
          <w:b/>
          <w:bCs/>
          <w:sz w:val="24"/>
          <w:szCs w:val="24"/>
          <w:u w:val="single"/>
        </w:rPr>
      </w:pPr>
    </w:p>
    <w:p w14:paraId="71DE8406" w14:textId="77777777" w:rsidR="009A64E9" w:rsidRDefault="009A64E9">
      <w:pPr>
        <w:pStyle w:val="Body"/>
        <w:spacing w:after="120" w:line="240" w:lineRule="auto"/>
        <w:jc w:val="both"/>
        <w:rPr>
          <w:b/>
          <w:bCs/>
          <w:sz w:val="24"/>
          <w:szCs w:val="24"/>
          <w:u w:val="single"/>
        </w:rPr>
      </w:pPr>
    </w:p>
    <w:p w14:paraId="0ADB5711" w14:textId="1BA7D2F0" w:rsidR="004656F3" w:rsidRDefault="0070323F" w:rsidP="004656F3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About </w:t>
      </w:r>
      <w:r w:rsidR="004656F3">
        <w:rPr>
          <w:b/>
          <w:bCs/>
          <w:sz w:val="24"/>
          <w:szCs w:val="24"/>
          <w:u w:val="single"/>
        </w:rPr>
        <w:t>our Research Report:</w:t>
      </w:r>
    </w:p>
    <w:p w14:paraId="32726F49" w14:textId="3B940CD6" w:rsidR="004005D9" w:rsidRDefault="00F52A12" w:rsidP="004656F3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research report investigates Armenia’s Cultural and Creative Industries, exploring both the economic impact of this sector </w:t>
      </w:r>
      <w:r w:rsidR="004005D9">
        <w:rPr>
          <w:sz w:val="24"/>
          <w:szCs w:val="24"/>
        </w:rPr>
        <w:t xml:space="preserve">on things like employment and national GDP, </w:t>
      </w:r>
      <w:r>
        <w:rPr>
          <w:sz w:val="24"/>
          <w:szCs w:val="24"/>
        </w:rPr>
        <w:t>a</w:t>
      </w:r>
      <w:r w:rsidR="004005D9">
        <w:rPr>
          <w:sz w:val="24"/>
          <w:szCs w:val="24"/>
        </w:rPr>
        <w:t>s well as</w:t>
      </w:r>
      <w:r>
        <w:rPr>
          <w:sz w:val="24"/>
          <w:szCs w:val="24"/>
        </w:rPr>
        <w:t xml:space="preserve"> </w:t>
      </w:r>
      <w:r w:rsidR="004005D9">
        <w:rPr>
          <w:sz w:val="24"/>
          <w:szCs w:val="24"/>
        </w:rPr>
        <w:t xml:space="preserve">if and how </w:t>
      </w:r>
      <w:r>
        <w:rPr>
          <w:sz w:val="24"/>
          <w:szCs w:val="24"/>
        </w:rPr>
        <w:t>the country’s infrastructure</w:t>
      </w:r>
      <w:r w:rsidR="004005D9">
        <w:rPr>
          <w:sz w:val="24"/>
          <w:szCs w:val="24"/>
        </w:rPr>
        <w:t xml:space="preserve"> supports the sector</w:t>
      </w:r>
      <w:r>
        <w:rPr>
          <w:sz w:val="24"/>
          <w:szCs w:val="24"/>
        </w:rPr>
        <w:t>. The report contains information gathered through focus group discussion</w:t>
      </w:r>
      <w:r w:rsidR="004005D9">
        <w:rPr>
          <w:sz w:val="24"/>
          <w:szCs w:val="24"/>
        </w:rPr>
        <w:t>s</w:t>
      </w:r>
      <w:r>
        <w:rPr>
          <w:sz w:val="24"/>
          <w:szCs w:val="24"/>
        </w:rPr>
        <w:t xml:space="preserve"> and one-on-one interviews with representatives from various cultural </w:t>
      </w:r>
      <w:r w:rsidR="004005D9">
        <w:rPr>
          <w:sz w:val="24"/>
          <w:szCs w:val="24"/>
        </w:rPr>
        <w:t xml:space="preserve">and creative </w:t>
      </w:r>
      <w:r>
        <w:rPr>
          <w:sz w:val="24"/>
          <w:szCs w:val="24"/>
        </w:rPr>
        <w:t>industries in Armenia. These representatives include artists, designers, musicians, filmmakers</w:t>
      </w:r>
      <w:r w:rsidR="004005D9">
        <w:rPr>
          <w:sz w:val="24"/>
          <w:szCs w:val="24"/>
        </w:rPr>
        <w:t xml:space="preserve">, architects, </w:t>
      </w:r>
      <w:r>
        <w:rPr>
          <w:sz w:val="24"/>
          <w:szCs w:val="24"/>
        </w:rPr>
        <w:t>and other creative</w:t>
      </w:r>
      <w:r w:rsidR="004005D9">
        <w:rPr>
          <w:sz w:val="24"/>
          <w:szCs w:val="24"/>
        </w:rPr>
        <w:t>s</w:t>
      </w:r>
      <w:r>
        <w:rPr>
          <w:sz w:val="24"/>
          <w:szCs w:val="24"/>
        </w:rPr>
        <w:t>, as well as museum professionals,</w:t>
      </w:r>
      <w:r w:rsidR="004005D9">
        <w:rPr>
          <w:sz w:val="24"/>
          <w:szCs w:val="24"/>
        </w:rPr>
        <w:t xml:space="preserve"> book publishers, journalists,</w:t>
      </w:r>
      <w:r>
        <w:rPr>
          <w:sz w:val="24"/>
          <w:szCs w:val="24"/>
        </w:rPr>
        <w:t xml:space="preserve"> </w:t>
      </w:r>
      <w:r w:rsidR="004005D9">
        <w:rPr>
          <w:sz w:val="24"/>
          <w:szCs w:val="24"/>
        </w:rPr>
        <w:t xml:space="preserve">and advertising executives, among others. </w:t>
      </w:r>
      <w:r>
        <w:rPr>
          <w:sz w:val="24"/>
          <w:szCs w:val="24"/>
        </w:rPr>
        <w:t xml:space="preserve">The report also contains data gathered through a customized survey we </w:t>
      </w:r>
      <w:r w:rsidR="004005D9">
        <w:rPr>
          <w:sz w:val="24"/>
          <w:szCs w:val="24"/>
        </w:rPr>
        <w:t xml:space="preserve">designed </w:t>
      </w:r>
      <w:r>
        <w:rPr>
          <w:sz w:val="24"/>
          <w:szCs w:val="24"/>
        </w:rPr>
        <w:t xml:space="preserve">to assess </w:t>
      </w:r>
      <w:r w:rsidR="004005D9">
        <w:rPr>
          <w:sz w:val="24"/>
          <w:szCs w:val="24"/>
        </w:rPr>
        <w:t xml:space="preserve">prevalent industry </w:t>
      </w:r>
      <w:r>
        <w:rPr>
          <w:sz w:val="24"/>
          <w:szCs w:val="24"/>
        </w:rPr>
        <w:t xml:space="preserve">issues </w:t>
      </w:r>
      <w:r w:rsidR="004005D9">
        <w:rPr>
          <w:sz w:val="24"/>
          <w:szCs w:val="24"/>
        </w:rPr>
        <w:t>concerning intellectual property rights, the shipping and exporting of cultural goods, online marketplaces for cultural products, participation in international arts fairs and expos, and hosting local cultural events.</w:t>
      </w:r>
    </w:p>
    <w:p w14:paraId="5A11C9EB" w14:textId="21358406" w:rsidR="007B2B53" w:rsidRDefault="00F52A12" w:rsidP="004656F3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addition to gathering our own </w:t>
      </w:r>
      <w:r w:rsidR="000156E9">
        <w:rPr>
          <w:sz w:val="24"/>
          <w:szCs w:val="24"/>
        </w:rPr>
        <w:t>information</w:t>
      </w:r>
      <w:r>
        <w:rPr>
          <w:sz w:val="24"/>
          <w:szCs w:val="24"/>
        </w:rPr>
        <w:t xml:space="preserve">, we also analyzed data provided by </w:t>
      </w:r>
      <w:proofErr w:type="spellStart"/>
      <w:r>
        <w:rPr>
          <w:sz w:val="24"/>
          <w:szCs w:val="24"/>
        </w:rPr>
        <w:t>ArmStat</w:t>
      </w:r>
      <w:proofErr w:type="spellEnd"/>
      <w:r>
        <w:rPr>
          <w:sz w:val="24"/>
          <w:szCs w:val="24"/>
        </w:rPr>
        <w:t xml:space="preserve">, the country’s </w:t>
      </w:r>
      <w:r w:rsidR="000156E9">
        <w:rPr>
          <w:sz w:val="24"/>
          <w:szCs w:val="24"/>
        </w:rPr>
        <w:t>official</w:t>
      </w:r>
      <w:r>
        <w:rPr>
          <w:sz w:val="24"/>
          <w:szCs w:val="24"/>
        </w:rPr>
        <w:t xml:space="preserve"> body </w:t>
      </w:r>
      <w:r w:rsidR="00E67D72">
        <w:rPr>
          <w:sz w:val="24"/>
          <w:szCs w:val="24"/>
        </w:rPr>
        <w:t xml:space="preserve">for gathering data on residents and the </w:t>
      </w:r>
      <w:r w:rsidR="000156E9">
        <w:rPr>
          <w:sz w:val="24"/>
          <w:szCs w:val="24"/>
        </w:rPr>
        <w:t>nation</w:t>
      </w:r>
      <w:r w:rsidR="00E67D72">
        <w:rPr>
          <w:sz w:val="24"/>
          <w:szCs w:val="24"/>
        </w:rPr>
        <w:t>.</w:t>
      </w:r>
    </w:p>
    <w:p w14:paraId="20A716FD" w14:textId="77777777" w:rsidR="000156E9" w:rsidRDefault="000156E9" w:rsidP="004656F3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primary objectives of this report include: </w:t>
      </w:r>
    </w:p>
    <w:p w14:paraId="0653935F" w14:textId="2AFBBA51" w:rsidR="000156E9" w:rsidRDefault="000156E9" w:rsidP="000156E9">
      <w:pPr>
        <w:pStyle w:val="Body"/>
        <w:numPr>
          <w:ilvl w:val="0"/>
          <w:numId w:val="1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Evaluating the current state of Armenia’s Cultural and Creative Industries. </w:t>
      </w:r>
    </w:p>
    <w:p w14:paraId="0653F984" w14:textId="5CFF9F5C" w:rsidR="000156E9" w:rsidRDefault="000156E9" w:rsidP="000156E9">
      <w:pPr>
        <w:pStyle w:val="Body"/>
        <w:numPr>
          <w:ilvl w:val="0"/>
          <w:numId w:val="1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Understanding the sector’s needs and challenges for development. </w:t>
      </w:r>
    </w:p>
    <w:p w14:paraId="4973F9D4" w14:textId="7E191562" w:rsidR="000156E9" w:rsidRDefault="000156E9" w:rsidP="000156E9">
      <w:pPr>
        <w:pStyle w:val="Body"/>
        <w:numPr>
          <w:ilvl w:val="0"/>
          <w:numId w:val="14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Proposing solutions to address the obstacles and barriers to its growth. </w:t>
      </w:r>
    </w:p>
    <w:p w14:paraId="2C540E89" w14:textId="31C71504" w:rsidR="00F52A12" w:rsidRDefault="00E67D72" w:rsidP="000156E9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Another key goal is making this information accessible and interesting to a broader public- both by using more accessible language and we hope also through engaging design not usually typical of research reports</w:t>
      </w:r>
      <w:r w:rsidR="000156E9">
        <w:rPr>
          <w:sz w:val="24"/>
          <w:szCs w:val="24"/>
        </w:rPr>
        <w:t>, but also in alignment with our alignment with our branding guidelines.</w:t>
      </w:r>
    </w:p>
    <w:p w14:paraId="1D4182EB" w14:textId="50D64064" w:rsidR="00E67D72" w:rsidRDefault="00E67D72" w:rsidP="004656F3">
      <w:pPr>
        <w:pStyle w:val="Body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 additional component may be included in the report with some consultation with the designer, that includes photographic documentation of the sector and its representatives.</w:t>
      </w:r>
    </w:p>
    <w:p w14:paraId="06DFC3B1" w14:textId="77777777" w:rsidR="00DD7A57" w:rsidRPr="00DD7A57" w:rsidRDefault="00DD7A57">
      <w:pPr>
        <w:pStyle w:val="Body"/>
        <w:tabs>
          <w:tab w:val="left" w:pos="4275"/>
          <w:tab w:val="center" w:pos="5173"/>
        </w:tabs>
        <w:jc w:val="both"/>
        <w:rPr>
          <w:sz w:val="24"/>
          <w:szCs w:val="24"/>
        </w:rPr>
      </w:pPr>
    </w:p>
    <w:p w14:paraId="57C0360D" w14:textId="77777777" w:rsidR="009A64E9" w:rsidRDefault="0070323F">
      <w:pPr>
        <w:pStyle w:val="Body"/>
        <w:tabs>
          <w:tab w:val="left" w:pos="4275"/>
          <w:tab w:val="center" w:pos="5173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Tasks and Responsibilities:</w:t>
      </w:r>
    </w:p>
    <w:p w14:paraId="77559759" w14:textId="257A168F" w:rsidR="00B42365" w:rsidRPr="009A64E9" w:rsidRDefault="0070323F">
      <w:pPr>
        <w:pStyle w:val="Body"/>
        <w:tabs>
          <w:tab w:val="left" w:pos="4275"/>
          <w:tab w:val="center" w:pos="5173"/>
        </w:tabs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The Katapu</w:t>
      </w:r>
      <w:r w:rsidR="00E67D72">
        <w:rPr>
          <w:sz w:val="24"/>
          <w:szCs w:val="24"/>
        </w:rPr>
        <w:t xml:space="preserve">lt research report </w:t>
      </w:r>
      <w:r w:rsidR="000156E9">
        <w:rPr>
          <w:sz w:val="24"/>
          <w:szCs w:val="24"/>
        </w:rPr>
        <w:t xml:space="preserve">graphic </w:t>
      </w:r>
      <w:r w:rsidR="00E67D72">
        <w:rPr>
          <w:sz w:val="24"/>
          <w:szCs w:val="24"/>
        </w:rPr>
        <w:t xml:space="preserve">designer </w:t>
      </w:r>
      <w:r>
        <w:rPr>
          <w:sz w:val="24"/>
          <w:szCs w:val="24"/>
        </w:rPr>
        <w:t xml:space="preserve">will be </w:t>
      </w:r>
      <w:r w:rsidR="00E67D72">
        <w:rPr>
          <w:sz w:val="24"/>
          <w:szCs w:val="24"/>
        </w:rPr>
        <w:t>responsible for the following tasks:</w:t>
      </w:r>
    </w:p>
    <w:p w14:paraId="299C31D6" w14:textId="274E344A" w:rsidR="00B42365" w:rsidRDefault="00E67D72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E67D72">
        <w:rPr>
          <w:b/>
          <w:bCs/>
          <w:sz w:val="24"/>
          <w:szCs w:val="24"/>
        </w:rPr>
        <w:t xml:space="preserve">Collaborative </w:t>
      </w:r>
      <w:r w:rsidR="000156E9">
        <w:rPr>
          <w:b/>
          <w:bCs/>
          <w:sz w:val="24"/>
          <w:szCs w:val="24"/>
        </w:rPr>
        <w:t>D</w:t>
      </w:r>
      <w:r w:rsidRPr="00E67D72">
        <w:rPr>
          <w:b/>
          <w:bCs/>
          <w:sz w:val="24"/>
          <w:szCs w:val="24"/>
        </w:rPr>
        <w:t xml:space="preserve">esign </w:t>
      </w:r>
      <w:r w:rsidR="000156E9">
        <w:rPr>
          <w:b/>
          <w:bCs/>
          <w:sz w:val="24"/>
          <w:szCs w:val="24"/>
        </w:rPr>
        <w:t>C</w:t>
      </w:r>
      <w:r w:rsidRPr="00E67D72">
        <w:rPr>
          <w:b/>
          <w:bCs/>
          <w:sz w:val="24"/>
          <w:szCs w:val="24"/>
        </w:rPr>
        <w:t>onsultation:</w:t>
      </w:r>
      <w:r>
        <w:rPr>
          <w:sz w:val="24"/>
          <w:szCs w:val="24"/>
        </w:rPr>
        <w:t xml:space="preserve"> meet with one or two members of the Katapult research team to discuss </w:t>
      </w:r>
      <w:r w:rsidR="00860845">
        <w:rPr>
          <w:sz w:val="24"/>
          <w:szCs w:val="24"/>
        </w:rPr>
        <w:t xml:space="preserve">Katapult branding guidelines, </w:t>
      </w:r>
      <w:r w:rsidR="000156E9">
        <w:rPr>
          <w:sz w:val="24"/>
          <w:szCs w:val="24"/>
        </w:rPr>
        <w:t>as well as</w:t>
      </w:r>
      <w:r w:rsidR="00860845">
        <w:rPr>
          <w:sz w:val="24"/>
          <w:szCs w:val="24"/>
        </w:rPr>
        <w:t xml:space="preserve"> larger conceptual and artistic ideas for the publication. </w:t>
      </w:r>
    </w:p>
    <w:p w14:paraId="00ECD7CA" w14:textId="0A60255A" w:rsidR="00860845" w:rsidRDefault="00860845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860845">
        <w:rPr>
          <w:b/>
          <w:bCs/>
          <w:sz w:val="24"/>
          <w:szCs w:val="24"/>
        </w:rPr>
        <w:t xml:space="preserve">Design </w:t>
      </w:r>
      <w:r w:rsidR="000156E9">
        <w:rPr>
          <w:b/>
          <w:bCs/>
          <w:sz w:val="24"/>
          <w:szCs w:val="24"/>
        </w:rPr>
        <w:t>D</w:t>
      </w:r>
      <w:r w:rsidRPr="00860845">
        <w:rPr>
          <w:b/>
          <w:bCs/>
          <w:sz w:val="24"/>
          <w:szCs w:val="24"/>
        </w:rPr>
        <w:t xml:space="preserve">igital </w:t>
      </w:r>
      <w:r w:rsidR="000156E9">
        <w:rPr>
          <w:b/>
          <w:bCs/>
          <w:sz w:val="24"/>
          <w:szCs w:val="24"/>
        </w:rPr>
        <w:t>R</w:t>
      </w:r>
      <w:r w:rsidRPr="00860845">
        <w:rPr>
          <w:b/>
          <w:bCs/>
          <w:sz w:val="24"/>
          <w:szCs w:val="24"/>
        </w:rPr>
        <w:t>eport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The digital version should be viewable and downloadable as a PDF. </w:t>
      </w:r>
      <w:r w:rsidR="000156E9">
        <w:rPr>
          <w:sz w:val="24"/>
          <w:szCs w:val="24"/>
        </w:rPr>
        <w:t>There will be two separate digital documents of the report—one in Armenian and one in English.</w:t>
      </w:r>
    </w:p>
    <w:p w14:paraId="2D5D1DE0" w14:textId="222622F0" w:rsidR="00B42365" w:rsidRDefault="00860845">
      <w:pPr>
        <w:pStyle w:val="Body"/>
        <w:numPr>
          <w:ilvl w:val="0"/>
          <w:numId w:val="4"/>
        </w:numPr>
        <w:jc w:val="both"/>
        <w:rPr>
          <w:sz w:val="24"/>
          <w:szCs w:val="24"/>
        </w:rPr>
      </w:pPr>
      <w:r w:rsidRPr="00860845">
        <w:rPr>
          <w:b/>
          <w:bCs/>
          <w:sz w:val="24"/>
          <w:szCs w:val="24"/>
        </w:rPr>
        <w:t xml:space="preserve">Design </w:t>
      </w:r>
      <w:r w:rsidR="000156E9">
        <w:rPr>
          <w:b/>
          <w:bCs/>
          <w:sz w:val="24"/>
          <w:szCs w:val="24"/>
        </w:rPr>
        <w:t>P</w:t>
      </w:r>
      <w:r w:rsidRPr="00860845">
        <w:rPr>
          <w:b/>
          <w:bCs/>
          <w:sz w:val="24"/>
          <w:szCs w:val="24"/>
        </w:rPr>
        <w:t xml:space="preserve">rinted </w:t>
      </w:r>
      <w:r w:rsidR="000156E9">
        <w:rPr>
          <w:b/>
          <w:bCs/>
          <w:sz w:val="24"/>
          <w:szCs w:val="24"/>
        </w:rPr>
        <w:t>P</w:t>
      </w:r>
      <w:r w:rsidRPr="00860845">
        <w:rPr>
          <w:b/>
          <w:bCs/>
          <w:sz w:val="24"/>
          <w:szCs w:val="24"/>
        </w:rPr>
        <w:t>ublication:</w:t>
      </w:r>
      <w:r>
        <w:rPr>
          <w:sz w:val="24"/>
          <w:szCs w:val="24"/>
        </w:rPr>
        <w:t xml:space="preserve"> The printed version of the report will also need to be designed for separate Armenian and English language versions. The printed publication can have double sided print</w:t>
      </w:r>
      <w:r w:rsidR="000156E9">
        <w:rPr>
          <w:sz w:val="24"/>
          <w:szCs w:val="24"/>
        </w:rPr>
        <w:t>ing</w:t>
      </w:r>
      <w:r>
        <w:rPr>
          <w:sz w:val="24"/>
          <w:szCs w:val="24"/>
        </w:rPr>
        <w:t xml:space="preserve"> and discussion on binding </w:t>
      </w:r>
      <w:r w:rsidR="000156E9">
        <w:rPr>
          <w:sz w:val="24"/>
          <w:szCs w:val="24"/>
        </w:rPr>
        <w:t xml:space="preserve">and paper </w:t>
      </w:r>
      <w:r>
        <w:rPr>
          <w:sz w:val="24"/>
          <w:szCs w:val="24"/>
        </w:rPr>
        <w:t xml:space="preserve">possibilities is open. </w:t>
      </w:r>
    </w:p>
    <w:p w14:paraId="73096C0B" w14:textId="77777777" w:rsidR="000156E9" w:rsidRDefault="00860845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4.) </w:t>
      </w:r>
      <w:r w:rsidRPr="00860845">
        <w:rPr>
          <w:b/>
          <w:bCs/>
          <w:sz w:val="24"/>
          <w:szCs w:val="24"/>
        </w:rPr>
        <w:t>Deadlines:</w:t>
      </w:r>
    </w:p>
    <w:p w14:paraId="5C368C39" w14:textId="2DB4EDD2" w:rsidR="00B42365" w:rsidRDefault="00860845" w:rsidP="000156E9">
      <w:pPr>
        <w:pStyle w:val="Body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Design Consultation: </w:t>
      </w:r>
      <w:r w:rsidR="009A64E9">
        <w:rPr>
          <w:sz w:val="24"/>
          <w:szCs w:val="24"/>
        </w:rPr>
        <w:t>No later than 15 November 2023</w:t>
      </w:r>
    </w:p>
    <w:p w14:paraId="2B8CF8C1" w14:textId="162D045C" w:rsidR="00860845" w:rsidRDefault="00860845" w:rsidP="000156E9">
      <w:pPr>
        <w:pStyle w:val="Body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 draft of designs: </w:t>
      </w:r>
      <w:r w:rsidR="009A64E9">
        <w:rPr>
          <w:sz w:val="24"/>
          <w:szCs w:val="24"/>
        </w:rPr>
        <w:t xml:space="preserve">1 </w:t>
      </w:r>
      <w:r w:rsidR="000156E9">
        <w:rPr>
          <w:sz w:val="24"/>
          <w:szCs w:val="24"/>
        </w:rPr>
        <w:t>December 2023</w:t>
      </w:r>
    </w:p>
    <w:p w14:paraId="1480600F" w14:textId="1F620CC2" w:rsidR="00AD6084" w:rsidRPr="00AD6084" w:rsidRDefault="00860845" w:rsidP="00AD6084">
      <w:pPr>
        <w:pStyle w:val="Body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Second draft of designs: </w:t>
      </w:r>
      <w:r w:rsidR="009A64E9">
        <w:rPr>
          <w:sz w:val="24"/>
          <w:szCs w:val="24"/>
        </w:rPr>
        <w:t xml:space="preserve">15 </w:t>
      </w:r>
      <w:r w:rsidR="000156E9">
        <w:rPr>
          <w:sz w:val="24"/>
          <w:szCs w:val="24"/>
        </w:rPr>
        <w:t xml:space="preserve">December </w:t>
      </w:r>
      <w:r w:rsidR="009A64E9">
        <w:rPr>
          <w:sz w:val="24"/>
          <w:szCs w:val="24"/>
        </w:rPr>
        <w:t>2023</w:t>
      </w:r>
    </w:p>
    <w:p w14:paraId="7B64E1A8" w14:textId="77777777" w:rsidR="00AD6084" w:rsidRDefault="00AD6084" w:rsidP="00AD6084">
      <w:pPr>
        <w:pStyle w:val="body0"/>
        <w:spacing w:after="0" w:afterAutospacing="0"/>
      </w:pPr>
      <w:r>
        <w:rPr>
          <w:b/>
          <w:bCs/>
          <w:sz w:val="24"/>
          <w:szCs w:val="24"/>
          <w:u w:val="single"/>
        </w:rPr>
        <w:t>Requirements:</w:t>
      </w:r>
    </w:p>
    <w:p w14:paraId="6831E8F5" w14:textId="77777777" w:rsidR="00AD6084" w:rsidRDefault="00AD6084" w:rsidP="00AD6084">
      <w:pPr>
        <w:pStyle w:val="body0"/>
        <w:spacing w:after="0" w:afterAutospacing="0"/>
      </w:pPr>
      <w:r>
        <w:rPr>
          <w:sz w:val="24"/>
          <w:szCs w:val="24"/>
        </w:rPr>
        <w:t>- Experience in designing arts and culture related content.</w:t>
      </w:r>
    </w:p>
    <w:p w14:paraId="5DC2F3D1" w14:textId="77777777" w:rsidR="00AD6084" w:rsidRDefault="00AD6084" w:rsidP="00AD6084">
      <w:pPr>
        <w:pStyle w:val="body0"/>
        <w:spacing w:after="0" w:afterAutospacing="0"/>
      </w:pPr>
      <w:r>
        <w:rPr>
          <w:sz w:val="24"/>
          <w:szCs w:val="24"/>
        </w:rPr>
        <w:t xml:space="preserve">- English will be the primary language that is used to facilitate the design process. The report will also be designed in both Armenian and English languages. </w:t>
      </w:r>
      <w:proofErr w:type="gramStart"/>
      <w:r>
        <w:rPr>
          <w:sz w:val="24"/>
          <w:szCs w:val="24"/>
        </w:rPr>
        <w:t>Therefore</w:t>
      </w:r>
      <w:proofErr w:type="gramEnd"/>
      <w:r>
        <w:rPr>
          <w:sz w:val="24"/>
          <w:szCs w:val="24"/>
        </w:rPr>
        <w:t xml:space="preserve"> the ability to proficiently speak and read both Armenian and English is required.</w:t>
      </w:r>
    </w:p>
    <w:p w14:paraId="1B107996" w14:textId="77777777" w:rsidR="00AD6084" w:rsidRDefault="00AD6084" w:rsidP="00AD6084">
      <w:pPr>
        <w:pStyle w:val="body0"/>
        <w:spacing w:after="0" w:afterAutospacing="0"/>
      </w:pPr>
      <w:r>
        <w:rPr>
          <w:sz w:val="24"/>
          <w:szCs w:val="24"/>
        </w:rPr>
        <w:t>- Excellent communication skills to effectively collaborate with research team and other potential collaborators (artists)</w:t>
      </w:r>
    </w:p>
    <w:p w14:paraId="62152F1B" w14:textId="77777777" w:rsidR="00AD6084" w:rsidRDefault="00AD6084" w:rsidP="00AD6084">
      <w:pPr>
        <w:pStyle w:val="body0"/>
        <w:spacing w:after="0" w:afterAutospacing="0"/>
      </w:pPr>
      <w:r>
        <w:rPr>
          <w:sz w:val="24"/>
          <w:szCs w:val="24"/>
        </w:rPr>
        <w:t>- Ability to work independently and meet deadlines while ensuring compliance with procurement regulations and guidelines.</w:t>
      </w:r>
    </w:p>
    <w:p w14:paraId="61BD00D0" w14:textId="77777777" w:rsidR="00AD6084" w:rsidRDefault="00AD6084" w:rsidP="00AD6084">
      <w:pPr>
        <w:rPr>
          <w:rFonts w:eastAsia="Times New Roman"/>
        </w:rPr>
      </w:pPr>
    </w:p>
    <w:p w14:paraId="6F7B30A4" w14:textId="77777777" w:rsidR="00CA43E6" w:rsidRDefault="00CA43E6">
      <w:pPr>
        <w:pStyle w:val="Body"/>
        <w:spacing w:after="0" w:line="240" w:lineRule="auto"/>
        <w:rPr>
          <w:b/>
          <w:bCs/>
          <w:sz w:val="24"/>
          <w:szCs w:val="24"/>
          <w:u w:val="single"/>
        </w:rPr>
      </w:pPr>
    </w:p>
    <w:p w14:paraId="15B18B2D" w14:textId="77777777" w:rsidR="00287ED5" w:rsidRDefault="00287ED5">
      <w:pPr>
        <w:pStyle w:val="Body"/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6AC0F364" w14:textId="6405FF22" w:rsidR="00B42365" w:rsidRDefault="0070323F">
      <w:pPr>
        <w:pStyle w:val="Body"/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Application procedure</w:t>
      </w:r>
    </w:p>
    <w:p w14:paraId="2B12C72E" w14:textId="43DF6591" w:rsidR="00B42365" w:rsidRDefault="0070323F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submit your application to </w:t>
      </w:r>
      <w:hyperlink r:id="rId7" w:history="1">
        <w:r w:rsidR="00354C12" w:rsidRPr="00B00063">
          <w:rPr>
            <w:rStyle w:val="Hyperlink"/>
            <w:sz w:val="24"/>
            <w:szCs w:val="24"/>
          </w:rPr>
          <w:t>katapult@agbu.am</w:t>
        </w:r>
      </w:hyperlink>
      <w:r w:rsidR="00354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indicating </w:t>
      </w:r>
      <w:r>
        <w:rPr>
          <w:sz w:val="24"/>
          <w:szCs w:val="24"/>
          <w:rtl/>
          <w:lang w:val="ar-SA"/>
        </w:rPr>
        <w:t>“</w:t>
      </w:r>
      <w:r w:rsidR="002D7D2B">
        <w:rPr>
          <w:sz w:val="24"/>
          <w:szCs w:val="24"/>
        </w:rPr>
        <w:t>Graphic Designer</w:t>
      </w:r>
      <w:r>
        <w:rPr>
          <w:sz w:val="24"/>
          <w:szCs w:val="24"/>
        </w:rPr>
        <w:t xml:space="preserve">” in the Subject </w:t>
      </w:r>
      <w:r w:rsidRPr="00624064">
        <w:rPr>
          <w:sz w:val="24"/>
          <w:szCs w:val="24"/>
        </w:rPr>
        <w:t xml:space="preserve">line </w:t>
      </w:r>
      <w:r w:rsidRPr="00624064">
        <w:rPr>
          <w:b/>
          <w:bCs/>
          <w:sz w:val="24"/>
          <w:szCs w:val="24"/>
        </w:rPr>
        <w:t xml:space="preserve">by </w:t>
      </w:r>
      <w:r w:rsidR="002D7D2B">
        <w:rPr>
          <w:b/>
          <w:bCs/>
          <w:sz w:val="24"/>
          <w:szCs w:val="24"/>
        </w:rPr>
        <w:t>November 1st</w:t>
      </w:r>
      <w:r w:rsidRPr="00624064">
        <w:rPr>
          <w:sz w:val="24"/>
          <w:szCs w:val="24"/>
        </w:rPr>
        <w:t>.</w:t>
      </w:r>
      <w:r>
        <w:rPr>
          <w:sz w:val="24"/>
          <w:szCs w:val="24"/>
        </w:rPr>
        <w:t xml:space="preserve"> The application package shall include:</w:t>
      </w:r>
    </w:p>
    <w:p w14:paraId="0A6FE942" w14:textId="77777777" w:rsidR="00B42365" w:rsidRDefault="00B42365">
      <w:pPr>
        <w:pStyle w:val="Body"/>
        <w:spacing w:after="0" w:line="240" w:lineRule="auto"/>
        <w:rPr>
          <w:b/>
          <w:bCs/>
          <w:sz w:val="24"/>
          <w:szCs w:val="24"/>
        </w:rPr>
      </w:pPr>
    </w:p>
    <w:p w14:paraId="5E2D6CEB" w14:textId="24265110" w:rsidR="001E73E0" w:rsidRPr="0032710A" w:rsidRDefault="0070323F" w:rsidP="0032710A">
      <w:pPr>
        <w:pStyle w:val="Body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letter of motivation expressing your </w:t>
      </w:r>
      <w:r w:rsidR="002D7D2B">
        <w:rPr>
          <w:sz w:val="24"/>
          <w:szCs w:val="24"/>
        </w:rPr>
        <w:t>interest in this work, specifically with research and the arts</w:t>
      </w:r>
      <w:r w:rsidR="009A64E9">
        <w:rPr>
          <w:sz w:val="24"/>
          <w:szCs w:val="24"/>
        </w:rPr>
        <w:t xml:space="preserve"> in Armenia</w:t>
      </w:r>
      <w:r w:rsidR="002D7D2B">
        <w:rPr>
          <w:sz w:val="24"/>
          <w:szCs w:val="24"/>
        </w:rPr>
        <w:t>, as well as your</w:t>
      </w:r>
      <w:r>
        <w:rPr>
          <w:sz w:val="24"/>
          <w:szCs w:val="24"/>
        </w:rPr>
        <w:t xml:space="preserve"> relevant experience</w:t>
      </w:r>
      <w:r w:rsidR="002D7D2B">
        <w:rPr>
          <w:sz w:val="24"/>
          <w:szCs w:val="24"/>
        </w:rPr>
        <w:t>.</w:t>
      </w:r>
    </w:p>
    <w:p w14:paraId="4F3E1B78" w14:textId="600F25A1" w:rsidR="002D7D2B" w:rsidRDefault="002D7D2B" w:rsidP="002D7D2B">
      <w:pPr>
        <w:pStyle w:val="ListParagraph"/>
        <w:numPr>
          <w:ilvl w:val="0"/>
          <w:numId w:val="13"/>
        </w:numPr>
        <w:spacing w:line="276" w:lineRule="auto"/>
      </w:pPr>
      <w:r w:rsidRPr="0032710A">
        <w:t>Portfolio of work, either through a website link or through an attached PDF.</w:t>
      </w:r>
    </w:p>
    <w:p w14:paraId="25EAC4EB" w14:textId="702D7067" w:rsidR="0032710A" w:rsidRPr="0032710A" w:rsidRDefault="0032710A" w:rsidP="002D7D2B">
      <w:pPr>
        <w:pStyle w:val="ListParagraph"/>
        <w:numPr>
          <w:ilvl w:val="0"/>
          <w:numId w:val="13"/>
        </w:numPr>
        <w:spacing w:line="276" w:lineRule="auto"/>
      </w:pPr>
      <w:r>
        <w:t>CV</w:t>
      </w:r>
    </w:p>
    <w:p w14:paraId="40F954C7" w14:textId="524DC5B1" w:rsidR="00B42365" w:rsidRPr="0032710A" w:rsidRDefault="0070323F" w:rsidP="002D7D2B">
      <w:pPr>
        <w:pStyle w:val="ListParagraph"/>
        <w:numPr>
          <w:ilvl w:val="0"/>
          <w:numId w:val="13"/>
        </w:numPr>
        <w:spacing w:line="276" w:lineRule="auto"/>
      </w:pPr>
      <w:r w:rsidRPr="0032710A">
        <w:rPr>
          <w:sz w:val="24"/>
          <w:szCs w:val="24"/>
        </w:rPr>
        <w:t xml:space="preserve">Cost </w:t>
      </w:r>
      <w:r w:rsidR="002D7D2B" w:rsidRPr="0032710A">
        <w:rPr>
          <w:sz w:val="24"/>
          <w:szCs w:val="24"/>
        </w:rPr>
        <w:t xml:space="preserve">of </w:t>
      </w:r>
      <w:r w:rsidRPr="0032710A">
        <w:rPr>
          <w:sz w:val="24"/>
          <w:szCs w:val="24"/>
        </w:rPr>
        <w:t xml:space="preserve">proposal - Lump sum </w:t>
      </w:r>
      <w:r w:rsidR="0032710A" w:rsidRPr="0032710A">
        <w:rPr>
          <w:sz w:val="24"/>
          <w:szCs w:val="24"/>
        </w:rPr>
        <w:t>for full scope of project</w:t>
      </w:r>
      <w:r w:rsidRPr="0032710A">
        <w:rPr>
          <w:sz w:val="24"/>
          <w:szCs w:val="24"/>
        </w:rPr>
        <w:t xml:space="preserve"> (</w:t>
      </w:r>
      <w:proofErr w:type="gramStart"/>
      <w:r w:rsidRPr="0032710A">
        <w:rPr>
          <w:sz w:val="24"/>
          <w:szCs w:val="24"/>
        </w:rPr>
        <w:t xml:space="preserve">without </w:t>
      </w:r>
      <w:r w:rsidR="008228F6" w:rsidRPr="0032710A">
        <w:rPr>
          <w:sz w:val="24"/>
          <w:szCs w:val="24"/>
        </w:rPr>
        <w:t xml:space="preserve"> taxes</w:t>
      </w:r>
      <w:proofErr w:type="gramEnd"/>
      <w:r w:rsidR="00204C51" w:rsidRPr="0032710A">
        <w:rPr>
          <w:sz w:val="24"/>
          <w:szCs w:val="24"/>
        </w:rPr>
        <w:t xml:space="preserve">, </w:t>
      </w:r>
      <w:r w:rsidR="008228F6" w:rsidRPr="0032710A">
        <w:rPr>
          <w:sz w:val="24"/>
          <w:szCs w:val="24"/>
        </w:rPr>
        <w:t>mandatory fees under the legislation of the Republic of Armenia</w:t>
      </w:r>
      <w:r w:rsidRPr="0032710A">
        <w:rPr>
          <w:sz w:val="24"/>
          <w:szCs w:val="24"/>
        </w:rPr>
        <w:t>).</w:t>
      </w:r>
    </w:p>
    <w:sectPr w:rsidR="00B42365" w:rsidRPr="0032710A">
      <w:headerReference w:type="default" r:id="rId8"/>
      <w:footerReference w:type="default" r:id="rId9"/>
      <w:pgSz w:w="11900" w:h="16840"/>
      <w:pgMar w:top="1134" w:right="1134" w:bottom="1134" w:left="852" w:header="72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2820" w14:textId="77777777" w:rsidR="00E9235A" w:rsidRDefault="00E9235A">
      <w:r>
        <w:separator/>
      </w:r>
    </w:p>
  </w:endnote>
  <w:endnote w:type="continuationSeparator" w:id="0">
    <w:p w14:paraId="68DCE3E9" w14:textId="77777777" w:rsidR="00E9235A" w:rsidRDefault="00E9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28A9" w14:textId="77777777" w:rsidR="00B42365" w:rsidRDefault="00B42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1A48" w14:textId="77777777" w:rsidR="00E9235A" w:rsidRDefault="00E9235A">
      <w:r>
        <w:separator/>
      </w:r>
    </w:p>
  </w:footnote>
  <w:footnote w:type="continuationSeparator" w:id="0">
    <w:p w14:paraId="0DACE686" w14:textId="77777777" w:rsidR="00E9235A" w:rsidRDefault="00E9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7CA2" w14:textId="77777777" w:rsidR="00B42365" w:rsidRDefault="0070323F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B022A5" wp14:editId="1F2DD189">
          <wp:simplePos x="0" y="0"/>
          <wp:positionH relativeFrom="page">
            <wp:posOffset>4980304</wp:posOffset>
          </wp:positionH>
          <wp:positionV relativeFrom="page">
            <wp:posOffset>466725</wp:posOffset>
          </wp:positionV>
          <wp:extent cx="1977390" cy="701041"/>
          <wp:effectExtent l="0" t="0" r="0" b="0"/>
          <wp:wrapNone/>
          <wp:docPr id="1073741825" name="officeArt object" descr="Katapul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atapult.jpg" descr="Katapult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7390" cy="701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BCC3416" wp14:editId="23F6F621">
          <wp:simplePos x="0" y="0"/>
          <wp:positionH relativeFrom="page">
            <wp:posOffset>204651</wp:posOffset>
          </wp:positionH>
          <wp:positionV relativeFrom="page">
            <wp:posOffset>227239</wp:posOffset>
          </wp:positionV>
          <wp:extent cx="4284980" cy="1188720"/>
          <wp:effectExtent l="0" t="0" r="0" b="0"/>
          <wp:wrapNone/>
          <wp:docPr id="1073741826" name="officeArt object" descr="EU-AGBU-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EU-AGBU-CA.jpg" descr="EU-AGBU-CA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4980" cy="1188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44D0410" wp14:editId="29A1BCDF">
          <wp:simplePos x="0" y="0"/>
          <wp:positionH relativeFrom="page">
            <wp:posOffset>541019</wp:posOffset>
          </wp:positionH>
          <wp:positionV relativeFrom="page">
            <wp:posOffset>9801777</wp:posOffset>
          </wp:positionV>
          <wp:extent cx="6273800" cy="393700"/>
          <wp:effectExtent l="0" t="0" r="0" b="0"/>
          <wp:wrapNone/>
          <wp:docPr id="107374182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" descr="Picture 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73800" cy="393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521A55" w14:textId="77777777" w:rsidR="00B42365" w:rsidRDefault="00B42365">
    <w:pPr>
      <w:pStyle w:val="Header"/>
    </w:pPr>
  </w:p>
  <w:p w14:paraId="56C913A8" w14:textId="77777777" w:rsidR="00B42365" w:rsidRDefault="00B42365">
    <w:pPr>
      <w:pStyle w:val="Header"/>
    </w:pPr>
  </w:p>
  <w:p w14:paraId="7B03F9A1" w14:textId="77777777" w:rsidR="00B42365" w:rsidRDefault="00B42365">
    <w:pPr>
      <w:pStyle w:val="Header"/>
    </w:pPr>
  </w:p>
  <w:p w14:paraId="628CA161" w14:textId="77777777" w:rsidR="00B42365" w:rsidRDefault="00B42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B17"/>
    <w:multiLevelType w:val="hybridMultilevel"/>
    <w:tmpl w:val="FF70FED4"/>
    <w:lvl w:ilvl="0" w:tplc="0409000F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9664CFE"/>
    <w:multiLevelType w:val="hybridMultilevel"/>
    <w:tmpl w:val="CD46B1A2"/>
    <w:styleLink w:val="ImportedStyle1"/>
    <w:lvl w:ilvl="0" w:tplc="102A64A0">
      <w:start w:val="1"/>
      <w:numFmt w:val="bullet"/>
      <w:lvlText w:val="·"/>
      <w:lvlJc w:val="left"/>
      <w:pPr>
        <w:tabs>
          <w:tab w:val="left" w:pos="720"/>
        </w:tabs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6C263E0">
      <w:start w:val="1"/>
      <w:numFmt w:val="bullet"/>
      <w:lvlText w:val="o"/>
      <w:lvlJc w:val="left"/>
      <w:pPr>
        <w:tabs>
          <w:tab w:val="left" w:pos="72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9261724">
      <w:start w:val="1"/>
      <w:numFmt w:val="bullet"/>
      <w:lvlText w:val="▪"/>
      <w:lvlJc w:val="left"/>
      <w:pPr>
        <w:tabs>
          <w:tab w:val="left" w:pos="72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225354">
      <w:start w:val="1"/>
      <w:numFmt w:val="bullet"/>
      <w:lvlText w:val="▪"/>
      <w:lvlJc w:val="left"/>
      <w:pPr>
        <w:tabs>
          <w:tab w:val="left" w:pos="720"/>
        </w:tabs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A3A3CBC">
      <w:start w:val="1"/>
      <w:numFmt w:val="bullet"/>
      <w:lvlText w:val="▪"/>
      <w:lvlJc w:val="left"/>
      <w:pPr>
        <w:tabs>
          <w:tab w:val="left" w:pos="72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86221AA">
      <w:start w:val="1"/>
      <w:numFmt w:val="bullet"/>
      <w:lvlText w:val="▪"/>
      <w:lvlJc w:val="left"/>
      <w:pPr>
        <w:tabs>
          <w:tab w:val="left" w:pos="72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925006">
      <w:start w:val="1"/>
      <w:numFmt w:val="bullet"/>
      <w:lvlText w:val="▪"/>
      <w:lvlJc w:val="left"/>
      <w:pPr>
        <w:tabs>
          <w:tab w:val="left" w:pos="720"/>
        </w:tabs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6A02E0A">
      <w:start w:val="1"/>
      <w:numFmt w:val="bullet"/>
      <w:lvlText w:val="▪"/>
      <w:lvlJc w:val="left"/>
      <w:pPr>
        <w:tabs>
          <w:tab w:val="left" w:pos="72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2CADAE">
      <w:start w:val="1"/>
      <w:numFmt w:val="bullet"/>
      <w:lvlText w:val="▪"/>
      <w:lvlJc w:val="left"/>
      <w:pPr>
        <w:tabs>
          <w:tab w:val="left" w:pos="72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B1317E9"/>
    <w:multiLevelType w:val="hybridMultilevel"/>
    <w:tmpl w:val="74A2DB72"/>
    <w:numStyleLink w:val="Lettered"/>
  </w:abstractNum>
  <w:abstractNum w:abstractNumId="3" w15:restartNumberingAfterBreak="0">
    <w:nsid w:val="142B77D7"/>
    <w:multiLevelType w:val="hybridMultilevel"/>
    <w:tmpl w:val="96FEF3D6"/>
    <w:numStyleLink w:val="ImportedStyle2"/>
  </w:abstractNum>
  <w:abstractNum w:abstractNumId="4" w15:restartNumberingAfterBreak="0">
    <w:nsid w:val="179C717B"/>
    <w:multiLevelType w:val="hybridMultilevel"/>
    <w:tmpl w:val="83E8C908"/>
    <w:styleLink w:val="ImportedStyle4"/>
    <w:lvl w:ilvl="0" w:tplc="C9FE9A4E">
      <w:start w:val="1"/>
      <w:numFmt w:val="decimal"/>
      <w:lvlText w:val="%1."/>
      <w:lvlJc w:val="left"/>
      <w:pPr>
        <w:tabs>
          <w:tab w:val="left" w:pos="720"/>
        </w:tabs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7E4C7C">
      <w:start w:val="1"/>
      <w:numFmt w:val="decimal"/>
      <w:lvlText w:val="%2."/>
      <w:lvlJc w:val="left"/>
      <w:pPr>
        <w:tabs>
          <w:tab w:val="left" w:pos="720"/>
        </w:tabs>
        <w:ind w:left="14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4D4B4">
      <w:start w:val="1"/>
      <w:numFmt w:val="decimal"/>
      <w:lvlText w:val="%3."/>
      <w:lvlJc w:val="left"/>
      <w:pPr>
        <w:tabs>
          <w:tab w:val="left" w:pos="720"/>
        </w:tabs>
        <w:ind w:left="2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44A02">
      <w:start w:val="1"/>
      <w:numFmt w:val="decimal"/>
      <w:lvlText w:val="%4."/>
      <w:lvlJc w:val="left"/>
      <w:pPr>
        <w:tabs>
          <w:tab w:val="left" w:pos="720"/>
        </w:tabs>
        <w:ind w:left="28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86CBE">
      <w:start w:val="1"/>
      <w:numFmt w:val="decimal"/>
      <w:lvlText w:val="%5."/>
      <w:lvlJc w:val="left"/>
      <w:pPr>
        <w:tabs>
          <w:tab w:val="left" w:pos="720"/>
        </w:tabs>
        <w:ind w:left="35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52902E">
      <w:start w:val="1"/>
      <w:numFmt w:val="decimal"/>
      <w:lvlText w:val="%6."/>
      <w:lvlJc w:val="left"/>
      <w:pPr>
        <w:tabs>
          <w:tab w:val="left" w:pos="720"/>
        </w:tabs>
        <w:ind w:left="43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0E16C6">
      <w:start w:val="1"/>
      <w:numFmt w:val="decimal"/>
      <w:lvlText w:val="%7."/>
      <w:lvlJc w:val="left"/>
      <w:pPr>
        <w:tabs>
          <w:tab w:val="left" w:pos="720"/>
        </w:tabs>
        <w:ind w:left="5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CABB1A">
      <w:start w:val="1"/>
      <w:numFmt w:val="decimal"/>
      <w:lvlText w:val="%8."/>
      <w:lvlJc w:val="left"/>
      <w:pPr>
        <w:tabs>
          <w:tab w:val="left" w:pos="720"/>
        </w:tabs>
        <w:ind w:left="57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E6F9C4">
      <w:start w:val="1"/>
      <w:numFmt w:val="decimal"/>
      <w:lvlText w:val="%9."/>
      <w:lvlJc w:val="left"/>
      <w:pPr>
        <w:tabs>
          <w:tab w:val="left" w:pos="720"/>
        </w:tabs>
        <w:ind w:left="6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AE16D1"/>
    <w:multiLevelType w:val="hybridMultilevel"/>
    <w:tmpl w:val="1BE6BB9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01457FD"/>
    <w:multiLevelType w:val="hybridMultilevel"/>
    <w:tmpl w:val="96FEF3D6"/>
    <w:styleLink w:val="ImportedStyle2"/>
    <w:lvl w:ilvl="0" w:tplc="E17C0B1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4A5D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AE0C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E8199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D6D71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E851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D6216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6453A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C2716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52458E"/>
    <w:multiLevelType w:val="hybridMultilevel"/>
    <w:tmpl w:val="83E8C908"/>
    <w:numStyleLink w:val="ImportedStyle4"/>
  </w:abstractNum>
  <w:abstractNum w:abstractNumId="8" w15:restartNumberingAfterBreak="0">
    <w:nsid w:val="23AA58EB"/>
    <w:multiLevelType w:val="hybridMultilevel"/>
    <w:tmpl w:val="04442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A36C0"/>
    <w:multiLevelType w:val="hybridMultilevel"/>
    <w:tmpl w:val="5824B8C0"/>
    <w:numStyleLink w:val="ImportedStyle3"/>
  </w:abstractNum>
  <w:abstractNum w:abstractNumId="10" w15:restartNumberingAfterBreak="0">
    <w:nsid w:val="66EB123C"/>
    <w:multiLevelType w:val="hybridMultilevel"/>
    <w:tmpl w:val="CD46B1A2"/>
    <w:numStyleLink w:val="ImportedStyle1"/>
  </w:abstractNum>
  <w:abstractNum w:abstractNumId="11" w15:restartNumberingAfterBreak="0">
    <w:nsid w:val="6A550F39"/>
    <w:multiLevelType w:val="hybridMultilevel"/>
    <w:tmpl w:val="5824B8C0"/>
    <w:styleLink w:val="ImportedStyle3"/>
    <w:lvl w:ilvl="0" w:tplc="4C6E8E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0D8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CCEB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52A7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42B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B41D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658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442EA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703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CAF4DC5"/>
    <w:multiLevelType w:val="hybridMultilevel"/>
    <w:tmpl w:val="74A2DB72"/>
    <w:styleLink w:val="Lettered"/>
    <w:lvl w:ilvl="0" w:tplc="4CD614E2">
      <w:start w:val="1"/>
      <w:numFmt w:val="decimal"/>
      <w:lvlText w:val="%1)"/>
      <w:lvlJc w:val="left"/>
      <w:pPr>
        <w:tabs>
          <w:tab w:val="left" w:pos="4275"/>
          <w:tab w:val="center" w:pos="5173"/>
        </w:tabs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F441EA">
      <w:start w:val="1"/>
      <w:numFmt w:val="decimal"/>
      <w:lvlText w:val="%2)"/>
      <w:lvlJc w:val="left"/>
      <w:pPr>
        <w:tabs>
          <w:tab w:val="left" w:pos="4275"/>
          <w:tab w:val="center" w:pos="5173"/>
        </w:tabs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6926A">
      <w:start w:val="1"/>
      <w:numFmt w:val="decimal"/>
      <w:lvlText w:val="%3)"/>
      <w:lvlJc w:val="left"/>
      <w:pPr>
        <w:tabs>
          <w:tab w:val="left" w:pos="4275"/>
          <w:tab w:val="center" w:pos="5173"/>
        </w:tabs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723A56">
      <w:start w:val="1"/>
      <w:numFmt w:val="decimal"/>
      <w:lvlText w:val="%4)"/>
      <w:lvlJc w:val="left"/>
      <w:pPr>
        <w:tabs>
          <w:tab w:val="left" w:pos="4275"/>
          <w:tab w:val="center" w:pos="5173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24DC0">
      <w:start w:val="1"/>
      <w:numFmt w:val="decimal"/>
      <w:lvlText w:val="%5)"/>
      <w:lvlJc w:val="left"/>
      <w:pPr>
        <w:tabs>
          <w:tab w:val="center" w:pos="5173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98E106">
      <w:start w:val="1"/>
      <w:numFmt w:val="decimal"/>
      <w:lvlText w:val="%6)"/>
      <w:lvlJc w:val="left"/>
      <w:pPr>
        <w:tabs>
          <w:tab w:val="left" w:pos="4275"/>
          <w:tab w:val="center" w:pos="5173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40CFCE">
      <w:start w:val="1"/>
      <w:numFmt w:val="decimal"/>
      <w:lvlText w:val="%7)"/>
      <w:lvlJc w:val="left"/>
      <w:pPr>
        <w:tabs>
          <w:tab w:val="left" w:pos="4275"/>
          <w:tab w:val="center" w:pos="5173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12362C">
      <w:start w:val="1"/>
      <w:numFmt w:val="decimal"/>
      <w:lvlText w:val="%8)"/>
      <w:lvlJc w:val="left"/>
      <w:pPr>
        <w:tabs>
          <w:tab w:val="left" w:pos="4275"/>
          <w:tab w:val="center" w:pos="5173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826FF4">
      <w:start w:val="1"/>
      <w:numFmt w:val="decimal"/>
      <w:lvlText w:val="%9)"/>
      <w:lvlJc w:val="left"/>
      <w:pPr>
        <w:tabs>
          <w:tab w:val="left" w:pos="4275"/>
          <w:tab w:val="center" w:pos="5173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3EF700C"/>
    <w:multiLevelType w:val="hybridMultilevel"/>
    <w:tmpl w:val="7932F45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9AD3A0D"/>
    <w:multiLevelType w:val="hybridMultilevel"/>
    <w:tmpl w:val="F01E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35537">
    <w:abstractNumId w:val="1"/>
  </w:num>
  <w:num w:numId="2" w16cid:durableId="1319456611">
    <w:abstractNumId w:val="10"/>
  </w:num>
  <w:num w:numId="3" w16cid:durableId="398138629">
    <w:abstractNumId w:val="12"/>
  </w:num>
  <w:num w:numId="4" w16cid:durableId="785389652">
    <w:abstractNumId w:val="2"/>
  </w:num>
  <w:num w:numId="5" w16cid:durableId="1750074688">
    <w:abstractNumId w:val="6"/>
  </w:num>
  <w:num w:numId="6" w16cid:durableId="1290823172">
    <w:abstractNumId w:val="3"/>
  </w:num>
  <w:num w:numId="7" w16cid:durableId="407265468">
    <w:abstractNumId w:val="11"/>
  </w:num>
  <w:num w:numId="8" w16cid:durableId="718171292">
    <w:abstractNumId w:val="9"/>
  </w:num>
  <w:num w:numId="9" w16cid:durableId="1199514780">
    <w:abstractNumId w:val="4"/>
  </w:num>
  <w:num w:numId="10" w16cid:durableId="364865829">
    <w:abstractNumId w:val="7"/>
  </w:num>
  <w:num w:numId="11" w16cid:durableId="1000154892">
    <w:abstractNumId w:val="13"/>
  </w:num>
  <w:num w:numId="12" w16cid:durableId="598686656">
    <w:abstractNumId w:val="5"/>
  </w:num>
  <w:num w:numId="13" w16cid:durableId="1185175169">
    <w:abstractNumId w:val="0"/>
  </w:num>
  <w:num w:numId="14" w16cid:durableId="2041856334">
    <w:abstractNumId w:val="14"/>
  </w:num>
  <w:num w:numId="15" w16cid:durableId="38556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65"/>
    <w:rsid w:val="000156E9"/>
    <w:rsid w:val="000C02AA"/>
    <w:rsid w:val="0014281F"/>
    <w:rsid w:val="00144398"/>
    <w:rsid w:val="001E73E0"/>
    <w:rsid w:val="001F6939"/>
    <w:rsid w:val="00204C51"/>
    <w:rsid w:val="00287ED5"/>
    <w:rsid w:val="002D7D2B"/>
    <w:rsid w:val="0032710A"/>
    <w:rsid w:val="0034769B"/>
    <w:rsid w:val="00351A08"/>
    <w:rsid w:val="00354C12"/>
    <w:rsid w:val="00393975"/>
    <w:rsid w:val="004005D9"/>
    <w:rsid w:val="004656F3"/>
    <w:rsid w:val="00503CD7"/>
    <w:rsid w:val="0050426B"/>
    <w:rsid w:val="00562B02"/>
    <w:rsid w:val="005E4307"/>
    <w:rsid w:val="005F4FE4"/>
    <w:rsid w:val="00624064"/>
    <w:rsid w:val="00661D3C"/>
    <w:rsid w:val="006F7C1D"/>
    <w:rsid w:val="0070323F"/>
    <w:rsid w:val="00704009"/>
    <w:rsid w:val="007B2B53"/>
    <w:rsid w:val="00803D96"/>
    <w:rsid w:val="008228F6"/>
    <w:rsid w:val="00860845"/>
    <w:rsid w:val="00863EEB"/>
    <w:rsid w:val="008841AF"/>
    <w:rsid w:val="00902F7C"/>
    <w:rsid w:val="00955E02"/>
    <w:rsid w:val="009A64E9"/>
    <w:rsid w:val="009B125D"/>
    <w:rsid w:val="00A24276"/>
    <w:rsid w:val="00A329EA"/>
    <w:rsid w:val="00AD6084"/>
    <w:rsid w:val="00B30551"/>
    <w:rsid w:val="00B42365"/>
    <w:rsid w:val="00B917FD"/>
    <w:rsid w:val="00C110F2"/>
    <w:rsid w:val="00C322E1"/>
    <w:rsid w:val="00C52D47"/>
    <w:rsid w:val="00CA029F"/>
    <w:rsid w:val="00CA43E6"/>
    <w:rsid w:val="00D4526C"/>
    <w:rsid w:val="00DC1CFA"/>
    <w:rsid w:val="00DC68BA"/>
    <w:rsid w:val="00DD7A57"/>
    <w:rsid w:val="00DE0361"/>
    <w:rsid w:val="00DE352B"/>
    <w:rsid w:val="00E67D72"/>
    <w:rsid w:val="00E91100"/>
    <w:rsid w:val="00E9235A"/>
    <w:rsid w:val="00E94446"/>
    <w:rsid w:val="00EA1C3A"/>
    <w:rsid w:val="00EB7639"/>
    <w:rsid w:val="00EE117C"/>
    <w:rsid w:val="00F14A73"/>
    <w:rsid w:val="00F516A7"/>
    <w:rsid w:val="00F52A12"/>
    <w:rsid w:val="00F627F7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C68C"/>
  <w15:docId w15:val="{367D0A51-471E-458E-807B-C7297E5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Revision">
    <w:name w:val="Revision"/>
    <w:hidden/>
    <w:uiPriority w:val="99"/>
    <w:semiHidden/>
    <w:rsid w:val="00DE3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4C12"/>
    <w:rPr>
      <w:color w:val="605E5C"/>
      <w:shd w:val="clear" w:color="auto" w:fill="E1DFDD"/>
    </w:rPr>
  </w:style>
  <w:style w:type="paragraph" w:customStyle="1" w:styleId="body0">
    <w:name w:val="body"/>
    <w:basedOn w:val="Normal"/>
    <w:rsid w:val="00AD60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pult@agb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KM. Martirosyan</dc:creator>
  <cp:lastModifiedBy>Lusine Adamyan</cp:lastModifiedBy>
  <cp:revision>2</cp:revision>
  <dcterms:created xsi:type="dcterms:W3CDTF">2023-10-24T15:33:00Z</dcterms:created>
  <dcterms:modified xsi:type="dcterms:W3CDTF">2023-10-24T15:33:00Z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602e19335923f54237bc9cf9839435d240492b3290f8beae09be64495bbafa07</vt:lpwstr>
  </property>
</Properties>
</file>