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E11D" w14:textId="77777777" w:rsidR="007429F9" w:rsidRPr="003959E5" w:rsidRDefault="007429F9" w:rsidP="00D702A4">
      <w:pPr>
        <w:pStyle w:val="Heading1"/>
        <w:spacing w:before="0" w:line="360" w:lineRule="auto"/>
        <w:ind w:left="-90" w:firstLine="90"/>
        <w:jc w:val="center"/>
        <w:rPr>
          <w:rFonts w:ascii="Sylfaen" w:hAnsi="Sylfaen"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Տեխնիկական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առաջադրանք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(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ToR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>)</w:t>
      </w:r>
    </w:p>
    <w:p w14:paraId="3600028F" w14:textId="77777777" w:rsidR="007429F9" w:rsidRPr="003959E5" w:rsidRDefault="007429F9" w:rsidP="00D702A4">
      <w:pPr>
        <w:pStyle w:val="Heading2"/>
        <w:spacing w:before="0" w:line="360" w:lineRule="auto"/>
        <w:ind w:left="-90"/>
        <w:jc w:val="both"/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Ծրագրի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անվանում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՝ </w:t>
      </w:r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«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Ապացուցահեն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գնահատում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՝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վաղ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ազդարարման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համակարգերի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և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համայնքների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դիմակայունության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վերաբերյալ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՝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ուղղված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Հայաստանում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աղետների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ռիսկի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կառավարման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բարելավմանը</w:t>
      </w:r>
      <w:proofErr w:type="spellEnd"/>
      <w:r w:rsidRPr="003959E5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»:</w:t>
      </w:r>
    </w:p>
    <w:p w14:paraId="70B60A4C" w14:textId="77777777" w:rsidR="007429F9" w:rsidRPr="003959E5" w:rsidRDefault="007429F9" w:rsidP="00D702A4">
      <w:pPr>
        <w:pStyle w:val="Heading2"/>
        <w:spacing w:before="0" w:line="360" w:lineRule="auto"/>
        <w:ind w:left="-90" w:firstLine="90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3959E5">
        <w:rPr>
          <w:rFonts w:ascii="Sylfaen" w:hAnsi="Sylfaen"/>
          <w:color w:val="000000" w:themeColor="text1"/>
          <w:sz w:val="24"/>
          <w:szCs w:val="24"/>
        </w:rPr>
        <w:t xml:space="preserve">1.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Ընդհանուր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ակնարկ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>՝</w:t>
      </w:r>
    </w:p>
    <w:p w14:paraId="12B5F149" w14:textId="77777777" w:rsidR="007429F9" w:rsidRPr="003959E5" w:rsidRDefault="007429F9" w:rsidP="00D702A4">
      <w:pPr>
        <w:spacing w:after="0" w:line="360" w:lineRule="auto"/>
        <w:ind w:left="-90" w:firstLine="90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3959E5">
        <w:rPr>
          <w:rFonts w:ascii="Sylfaen" w:hAnsi="Sylfaen"/>
          <w:color w:val="000000" w:themeColor="text1"/>
          <w:sz w:val="24"/>
          <w:szCs w:val="24"/>
        </w:rPr>
        <w:t xml:space="preserve">ՀԵԿՍ-ԵՊԵՐ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Հայաստանը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ՄԱԿ ՓԳՀ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ֆինանսավորմամբ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իրականացնում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է «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Ապացուցահեն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գնահատում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՝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վաղ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ազդարարման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համակարգերի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և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համայնքների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դիմակայունության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վերաբերյալ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՝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ուղղված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Հայաստանում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աղետների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ռիսկի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կառավարման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բարելավմանը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»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ծրագիրը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,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որի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նպատակն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է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նպաստել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համայնքների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դիմակայունության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ամրապնդմանը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պատրաստվածությանն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ու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արձագանքման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կարողությունների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զարգացմանը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՝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հիմնվելով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մասնակցային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և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ապացուցահեն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գնահատման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վրա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։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Ծրագիրն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իրականացվում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է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Հայաստանի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վեց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մարզերում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՝ Սյունիք,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Վայոց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ձոր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,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Տավուշ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,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Արարատ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,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Գեղարքունիք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և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Լոռի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։ </w:t>
      </w:r>
    </w:p>
    <w:p w14:paraId="182D4755" w14:textId="038DA647" w:rsidR="00A7256E" w:rsidRPr="003959E5" w:rsidRDefault="007429F9" w:rsidP="00D702A4">
      <w:pPr>
        <w:spacing w:after="0" w:line="360" w:lineRule="auto"/>
        <w:jc w:val="both"/>
        <w:rPr>
          <w:rFonts w:ascii="Sylfaen" w:hAnsi="Sylfaen"/>
          <w:b/>
          <w:bCs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Ծրագրի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շրջանակներում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ՀԵԿՍ-ԵՊԵՐ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Հայաստանը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նպատակ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ունի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աջակցել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թիրախային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համայնքների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կամավոր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փրկարարական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խմբերին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՝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տրամադրելով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համազգեստ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և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անհատական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պաշտպանական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միջոցներ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: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Այս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պարագաները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հնարավորություն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կտան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կամավոր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փրկարարներին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արտակարգ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իրավիճակներին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արձագանքման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ընթացքում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F176CF">
        <w:rPr>
          <w:rFonts w:ascii="Sylfaen" w:hAnsi="Sylfaen"/>
          <w:color w:val="000000" w:themeColor="text1"/>
          <w:sz w:val="24"/>
          <w:szCs w:val="24"/>
        </w:rPr>
        <w:t>լինել</w:t>
      </w:r>
      <w:proofErr w:type="spellEnd"/>
      <w:r w:rsidR="00F176CF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պատշաճ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կերպով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պաշտպանված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,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տեսանելի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և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ճանաչելի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>։</w:t>
      </w:r>
      <w:r w:rsidRPr="003959E5">
        <w:rPr>
          <w:rFonts w:ascii="Sylfaen" w:hAnsi="Sylfaen"/>
          <w:color w:val="000000" w:themeColor="text1"/>
          <w:sz w:val="24"/>
          <w:szCs w:val="24"/>
        </w:rPr>
        <w:br/>
      </w:r>
      <w:r w:rsidR="00A7256E" w:rsidRPr="003959E5"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="00A7256E"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Նպատակ</w:t>
      </w:r>
      <w:proofErr w:type="spellEnd"/>
      <w:r w:rsidR="00A7256E"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՝</w:t>
      </w:r>
    </w:p>
    <w:p w14:paraId="592EFA28" w14:textId="1CA0D884" w:rsidR="00A7256E" w:rsidRPr="003959E5" w:rsidRDefault="00F176CF" w:rsidP="00D702A4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proofErr w:type="spellStart"/>
      <w:r w:rsidRPr="00AE217C">
        <w:rPr>
          <w:rFonts w:ascii="Sylfaen" w:hAnsi="Sylfaen"/>
          <w:sz w:val="24"/>
          <w:szCs w:val="24"/>
        </w:rPr>
        <w:t>Այս</w:t>
      </w:r>
      <w:proofErr w:type="spellEnd"/>
      <w:r w:rsidRPr="00AE217C">
        <w:rPr>
          <w:rFonts w:ascii="Sylfaen" w:hAnsi="Sylfaen"/>
          <w:sz w:val="24"/>
          <w:szCs w:val="24"/>
        </w:rPr>
        <w:t xml:space="preserve"> </w:t>
      </w:r>
      <w:proofErr w:type="spellStart"/>
      <w:r w:rsidRPr="00AE217C">
        <w:rPr>
          <w:rFonts w:ascii="Sylfaen" w:hAnsi="Sylfaen"/>
          <w:sz w:val="24"/>
          <w:szCs w:val="24"/>
        </w:rPr>
        <w:t>առաջադրանքի</w:t>
      </w:r>
      <w:proofErr w:type="spellEnd"/>
      <w:r w:rsidRPr="00AE217C">
        <w:rPr>
          <w:rFonts w:ascii="Sylfaen" w:hAnsi="Sylfaen"/>
          <w:sz w:val="24"/>
          <w:szCs w:val="24"/>
        </w:rPr>
        <w:t xml:space="preserve"> </w:t>
      </w:r>
      <w:proofErr w:type="spellStart"/>
      <w:r w:rsidRPr="00AE217C">
        <w:rPr>
          <w:rFonts w:ascii="Sylfaen" w:hAnsi="Sylfaen"/>
          <w:sz w:val="24"/>
          <w:szCs w:val="24"/>
        </w:rPr>
        <w:t>նպատակն</w:t>
      </w:r>
      <w:proofErr w:type="spellEnd"/>
      <w:r w:rsidRPr="00AE217C">
        <w:rPr>
          <w:rFonts w:ascii="Sylfaen" w:hAnsi="Sylfaen"/>
          <w:sz w:val="24"/>
          <w:szCs w:val="24"/>
        </w:rPr>
        <w:t xml:space="preserve"> է </w:t>
      </w:r>
      <w:proofErr w:type="spellStart"/>
      <w:r w:rsidRPr="00AE217C">
        <w:rPr>
          <w:rFonts w:ascii="Sylfaen" w:hAnsi="Sylfaen"/>
          <w:sz w:val="24"/>
          <w:szCs w:val="24"/>
        </w:rPr>
        <w:t>մատակարարել</w:t>
      </w:r>
      <w:proofErr w:type="spellEnd"/>
      <w:r w:rsidRPr="00AE217C">
        <w:rPr>
          <w:rFonts w:ascii="Sylfaen" w:hAnsi="Sylfaen"/>
          <w:sz w:val="24"/>
          <w:szCs w:val="24"/>
        </w:rPr>
        <w:t xml:space="preserve"> </w:t>
      </w:r>
      <w:proofErr w:type="spellStart"/>
      <w:r w:rsidRPr="00AE217C">
        <w:rPr>
          <w:rFonts w:ascii="Sylfaen" w:hAnsi="Sylfaen"/>
          <w:sz w:val="24"/>
          <w:szCs w:val="24"/>
        </w:rPr>
        <w:t>ստանդարտացված</w:t>
      </w:r>
      <w:proofErr w:type="spellEnd"/>
      <w:r w:rsidRPr="00AE217C">
        <w:rPr>
          <w:rFonts w:ascii="Sylfaen" w:hAnsi="Sylfaen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համազգեստ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և </w:t>
      </w:r>
      <w:proofErr w:type="spellStart"/>
      <w:r>
        <w:rPr>
          <w:rFonts w:ascii="Sylfaen" w:hAnsi="Sylfaen"/>
          <w:color w:val="000000" w:themeColor="text1"/>
          <w:sz w:val="24"/>
          <w:szCs w:val="24"/>
        </w:rPr>
        <w:t>անհատական</w:t>
      </w:r>
      <w:proofErr w:type="spellEnd"/>
      <w:r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000000" w:themeColor="text1"/>
          <w:sz w:val="24"/>
          <w:szCs w:val="24"/>
        </w:rPr>
        <w:t>պաշտպանական</w:t>
      </w:r>
      <w:proofErr w:type="spellEnd"/>
      <w:r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ylfaen" w:hAnsi="Sylfaen"/>
          <w:color w:val="000000" w:themeColor="text1"/>
          <w:sz w:val="24"/>
          <w:szCs w:val="24"/>
        </w:rPr>
        <w:t>միջոցներ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։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Տրված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միջոցները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կբարձրացնեն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կամավորական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խմբերի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անվտանգությունը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,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տեսանելիությունը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և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գործառնական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արդյունավետությունը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դաշտային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աշխատանքների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154537">
        <w:rPr>
          <w:rFonts w:ascii="Sylfaen" w:hAnsi="Sylfaen"/>
          <w:color w:val="000000" w:themeColor="text1"/>
          <w:sz w:val="24"/>
          <w:szCs w:val="24"/>
        </w:rPr>
        <w:t xml:space="preserve">և </w:t>
      </w:r>
      <w:proofErr w:type="spellStart"/>
      <w:r w:rsidR="00154537">
        <w:rPr>
          <w:rFonts w:ascii="Sylfaen" w:hAnsi="Sylfaen"/>
          <w:color w:val="000000" w:themeColor="text1"/>
          <w:sz w:val="24"/>
          <w:szCs w:val="24"/>
        </w:rPr>
        <w:t>դասընթացների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A7256E" w:rsidRPr="00A7256E">
        <w:rPr>
          <w:rFonts w:ascii="Sylfaen" w:hAnsi="Sylfaen"/>
          <w:color w:val="000000" w:themeColor="text1"/>
          <w:sz w:val="24"/>
          <w:szCs w:val="24"/>
        </w:rPr>
        <w:t>ընթացքում</w:t>
      </w:r>
      <w:proofErr w:type="spellEnd"/>
      <w:r w:rsidR="00A7256E" w:rsidRPr="00A7256E">
        <w:rPr>
          <w:rFonts w:ascii="Sylfaen" w:hAnsi="Sylfaen"/>
          <w:color w:val="000000" w:themeColor="text1"/>
          <w:sz w:val="24"/>
          <w:szCs w:val="24"/>
        </w:rPr>
        <w:t>։</w:t>
      </w:r>
    </w:p>
    <w:p w14:paraId="1E860812" w14:textId="77777777" w:rsidR="00A7256E" w:rsidRPr="003959E5" w:rsidRDefault="00A7256E" w:rsidP="00D702A4">
      <w:pPr>
        <w:spacing w:after="0" w:line="360" w:lineRule="auto"/>
        <w:jc w:val="both"/>
        <w:rPr>
          <w:rFonts w:ascii="Sylfaen" w:hAnsi="Sylfaen"/>
          <w:b/>
          <w:bCs/>
          <w:color w:val="000000" w:themeColor="text1"/>
          <w:sz w:val="24"/>
          <w:szCs w:val="24"/>
        </w:rPr>
      </w:pPr>
      <w:proofErr w:type="spellStart"/>
      <w:r w:rsidRPr="00A7256E">
        <w:rPr>
          <w:rFonts w:ascii="Sylfaen" w:hAnsi="Sylfaen"/>
          <w:b/>
          <w:bCs/>
          <w:color w:val="000000" w:themeColor="text1"/>
          <w:sz w:val="24"/>
          <w:szCs w:val="24"/>
        </w:rPr>
        <w:t>Հատուկ</w:t>
      </w:r>
      <w:proofErr w:type="spellEnd"/>
      <w:r w:rsidRPr="00A7256E"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7256E">
        <w:rPr>
          <w:rFonts w:ascii="Sylfaen" w:hAnsi="Sylfaen"/>
          <w:b/>
          <w:bCs/>
          <w:color w:val="000000" w:themeColor="text1"/>
          <w:sz w:val="24"/>
          <w:szCs w:val="24"/>
        </w:rPr>
        <w:t>նպատակ</w:t>
      </w:r>
      <w:proofErr w:type="spellEnd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՝</w:t>
      </w:r>
    </w:p>
    <w:p w14:paraId="633D2AAE" w14:textId="1C7F414A" w:rsidR="00A7256E" w:rsidRPr="003959E5" w:rsidRDefault="00A7256E" w:rsidP="00D702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Մատակարարել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ստուգված</w:t>
      </w:r>
      <w:proofErr w:type="spellEnd"/>
      <w:r w:rsidR="000916F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պաշտպանիչ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հագուստ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և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անհատական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պաշտպանական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միջոցներ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,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որոնք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համապատասխանում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են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միջազգային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չափանիշներին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>։</w:t>
      </w:r>
    </w:p>
    <w:p w14:paraId="28F5B10F" w14:textId="55E43825" w:rsidR="00A7256E" w:rsidRPr="00A7256E" w:rsidRDefault="00A7256E" w:rsidP="00D702A4">
      <w:pPr>
        <w:pStyle w:val="Heading2"/>
        <w:numPr>
          <w:ilvl w:val="0"/>
          <w:numId w:val="12"/>
        </w:numPr>
        <w:spacing w:before="0" w:line="360" w:lineRule="auto"/>
        <w:jc w:val="both"/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</w:pP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lastRenderedPageBreak/>
        <w:t>Ապահովել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որ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բոլոր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միջոցներն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ամբողջությամբ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համապատասխանեն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Հայաստանի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ռելիեֆային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և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կլիմայական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պայմաններին</w:t>
      </w:r>
      <w:proofErr w:type="spellEnd"/>
      <w:r w:rsidRPr="00A7256E">
        <w:rPr>
          <w:rFonts w:ascii="Sylfaen" w:eastAsiaTheme="minorEastAsia" w:hAnsi="Sylfaen" w:cstheme="minorBidi"/>
          <w:b w:val="0"/>
          <w:bCs w:val="0"/>
          <w:color w:val="000000" w:themeColor="text1"/>
          <w:sz w:val="24"/>
          <w:szCs w:val="24"/>
        </w:rPr>
        <w:t>։</w:t>
      </w:r>
    </w:p>
    <w:p w14:paraId="52AF0B0A" w14:textId="77777777" w:rsidR="00465949" w:rsidRPr="003959E5" w:rsidRDefault="00465949" w:rsidP="00D702A4">
      <w:pPr>
        <w:pStyle w:val="Heading2"/>
        <w:spacing w:before="0" w:line="360" w:lineRule="auto"/>
        <w:ind w:left="-90" w:firstLine="90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3959E5">
        <w:rPr>
          <w:rFonts w:ascii="Sylfaen" w:hAnsi="Sylfaen"/>
          <w:color w:val="000000" w:themeColor="text1"/>
          <w:sz w:val="24"/>
          <w:szCs w:val="24"/>
        </w:rPr>
        <w:t xml:space="preserve">3.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Աշխատանքների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շրջանակ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>՝</w:t>
      </w:r>
    </w:p>
    <w:p w14:paraId="20475CAC" w14:textId="77777777" w:rsidR="00465949" w:rsidRPr="003959E5" w:rsidRDefault="00465949" w:rsidP="00D702A4">
      <w:pPr>
        <w:spacing w:after="0" w:line="360" w:lineRule="auto"/>
        <w:ind w:left="-90" w:firstLine="90"/>
        <w:jc w:val="both"/>
        <w:rPr>
          <w:rFonts w:ascii="Sylfaen" w:hAnsi="Sylfaen"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Ընտրված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մատակարարը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պետք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է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իրականացնի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հետևյալ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աշխատանքները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>՝</w:t>
      </w:r>
    </w:p>
    <w:p w14:paraId="32EC0993" w14:textId="2B9FA11B" w:rsidR="00465949" w:rsidRPr="0059043F" w:rsidRDefault="00465949" w:rsidP="0059043F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Sylfaen" w:eastAsia="Times New Roman" w:hAnsi="Sylfaen" w:cs="Times New Roman"/>
          <w:color w:val="000000" w:themeColor="text1"/>
          <w:sz w:val="24"/>
          <w:szCs w:val="24"/>
        </w:rPr>
      </w:pP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Մատակարարել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ստորև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նշված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համազգեստները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և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անհատական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պաշտպանական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54C8"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միջոցները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՝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ներկայացված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տեխնիկական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բնութագրերին</w:t>
      </w:r>
      <w:proofErr w:type="spellEnd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eastAsia="Times New Roman" w:hAnsi="Sylfaen" w:cs="Times New Roman"/>
          <w:color w:val="000000" w:themeColor="text1"/>
          <w:sz w:val="24"/>
          <w:szCs w:val="24"/>
        </w:rPr>
        <w:t>համապատասխան</w:t>
      </w:r>
      <w:proofErr w:type="spellEnd"/>
      <w:r w:rsidR="00154537">
        <w:rPr>
          <w:rFonts w:ascii="MS Mincho" w:eastAsia="MS Mincho" w:hAnsi="MS Mincho" w:cs="MS Mincho"/>
          <w:color w:val="000000" w:themeColor="text1"/>
          <w:sz w:val="24"/>
          <w:szCs w:val="24"/>
        </w:rPr>
        <w:t>,</w:t>
      </w:r>
    </w:p>
    <w:p w14:paraId="7AAB0FC5" w14:textId="6B13BA2A" w:rsidR="00465949" w:rsidRPr="0059043F" w:rsidRDefault="00465949" w:rsidP="0059043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proofErr w:type="spellStart"/>
      <w:r w:rsidRPr="0059043F">
        <w:rPr>
          <w:rFonts w:ascii="Sylfaen" w:hAnsi="Sylfaen"/>
          <w:color w:val="000000" w:themeColor="text1"/>
          <w:sz w:val="24"/>
          <w:szCs w:val="24"/>
        </w:rPr>
        <w:t>Առաքել</w:t>
      </w:r>
      <w:proofErr w:type="spellEnd"/>
      <w:r w:rsidRPr="0059043F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hAnsi="Sylfaen"/>
          <w:color w:val="000000" w:themeColor="text1"/>
          <w:sz w:val="24"/>
          <w:szCs w:val="24"/>
        </w:rPr>
        <w:t>բոլոր</w:t>
      </w:r>
      <w:proofErr w:type="spellEnd"/>
      <w:r w:rsidRPr="0059043F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hAnsi="Sylfaen"/>
          <w:color w:val="000000" w:themeColor="text1"/>
          <w:sz w:val="24"/>
          <w:szCs w:val="24"/>
        </w:rPr>
        <w:t>սարքավորումները</w:t>
      </w:r>
      <w:proofErr w:type="spellEnd"/>
      <w:r w:rsidRPr="0059043F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hAnsi="Sylfaen"/>
          <w:color w:val="000000" w:themeColor="text1"/>
          <w:sz w:val="24"/>
          <w:szCs w:val="24"/>
        </w:rPr>
        <w:t>նշված</w:t>
      </w:r>
      <w:proofErr w:type="spellEnd"/>
      <w:r w:rsidRPr="0059043F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59043F">
        <w:rPr>
          <w:rFonts w:ascii="Sylfaen" w:hAnsi="Sylfaen"/>
          <w:color w:val="000000" w:themeColor="text1"/>
          <w:sz w:val="24"/>
          <w:szCs w:val="24"/>
        </w:rPr>
        <w:t>հասցեով</w:t>
      </w:r>
      <w:proofErr w:type="spellEnd"/>
      <w:r w:rsidRPr="0059043F">
        <w:rPr>
          <w:rFonts w:ascii="Sylfaen" w:hAnsi="Sylfaen"/>
          <w:color w:val="000000" w:themeColor="text1"/>
          <w:sz w:val="24"/>
          <w:szCs w:val="24"/>
        </w:rPr>
        <w:t>:</w:t>
      </w:r>
    </w:p>
    <w:p w14:paraId="0072CE62" w14:textId="77777777" w:rsidR="00A754C8" w:rsidRPr="003959E5" w:rsidRDefault="00A754C8" w:rsidP="00D702A4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</w:p>
    <w:p w14:paraId="6DF54E8B" w14:textId="188FDBA5" w:rsidR="0027309B" w:rsidRPr="003959E5" w:rsidRDefault="00A754C8" w:rsidP="00D702A4">
      <w:pPr>
        <w:spacing w:after="0" w:line="360" w:lineRule="auto"/>
        <w:jc w:val="both"/>
        <w:rPr>
          <w:rFonts w:ascii="Sylfaen" w:hAnsi="Sylfaen"/>
          <w:b/>
          <w:bCs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Անհրաժեշտ</w:t>
      </w:r>
      <w:proofErr w:type="spellEnd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ցանկ</w:t>
      </w:r>
      <w:proofErr w:type="spellEnd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՝</w:t>
      </w:r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930"/>
        <w:gridCol w:w="1710"/>
      </w:tblGrid>
      <w:tr w:rsidR="003959E5" w:rsidRPr="003959E5" w14:paraId="7612CAEC" w14:textId="77777777" w:rsidTr="008E1CC4">
        <w:tc>
          <w:tcPr>
            <w:tcW w:w="648" w:type="dxa"/>
          </w:tcPr>
          <w:p w14:paraId="76D32A05" w14:textId="77777777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6930" w:type="dxa"/>
          </w:tcPr>
          <w:p w14:paraId="1E000804" w14:textId="0E43C6DE" w:rsidR="0027309B" w:rsidRPr="003959E5" w:rsidRDefault="00A754C8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Նկարագրություն</w:t>
            </w:r>
            <w:proofErr w:type="spellEnd"/>
          </w:p>
        </w:tc>
        <w:tc>
          <w:tcPr>
            <w:tcW w:w="1710" w:type="dxa"/>
          </w:tcPr>
          <w:p w14:paraId="02404139" w14:textId="57B3AB71" w:rsidR="0027309B" w:rsidRPr="003959E5" w:rsidRDefault="00A754C8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Քանակ</w:t>
            </w:r>
            <w:proofErr w:type="spellEnd"/>
          </w:p>
        </w:tc>
      </w:tr>
      <w:tr w:rsidR="003959E5" w:rsidRPr="003959E5" w14:paraId="21639695" w14:textId="77777777" w:rsidTr="008E1CC4">
        <w:tc>
          <w:tcPr>
            <w:tcW w:w="648" w:type="dxa"/>
          </w:tcPr>
          <w:p w14:paraId="49FFA7D0" w14:textId="77777777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30" w:type="dxa"/>
          </w:tcPr>
          <w:p w14:paraId="6FD5AC81" w14:textId="6A57D770" w:rsidR="0027309B" w:rsidRPr="003959E5" w:rsidRDefault="00162C64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Բազմաշերտ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պաշտպանիչ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գլխարկ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բեյզբոլի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գլխարկի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ոճի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հարվածադիմացկուն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օդափոխման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անցքերով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1710" w:type="dxa"/>
          </w:tcPr>
          <w:p w14:paraId="7347B7D0" w14:textId="005C571B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2</w:t>
            </w:r>
            <w:r w:rsidR="00D55DF8"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959E5" w:rsidRPr="003959E5" w14:paraId="00DEE938" w14:textId="77777777" w:rsidTr="008E1CC4">
        <w:tc>
          <w:tcPr>
            <w:tcW w:w="648" w:type="dxa"/>
          </w:tcPr>
          <w:p w14:paraId="04949AE3" w14:textId="77777777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30" w:type="dxa"/>
          </w:tcPr>
          <w:p w14:paraId="5406B840" w14:textId="758CB717" w:rsidR="0027309B" w:rsidRPr="003959E5" w:rsidRDefault="00162C64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Ճտքավոր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կոշիկներ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(CE EN 20345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ստանդարտ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), PU/TPU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ներքնակով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մետաղյա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քթապաշտպանով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չսայթաքող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:   </w:t>
            </w:r>
          </w:p>
        </w:tc>
        <w:tc>
          <w:tcPr>
            <w:tcW w:w="1710" w:type="dxa"/>
          </w:tcPr>
          <w:p w14:paraId="20D75B86" w14:textId="4AF78C0C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2</w:t>
            </w:r>
            <w:r w:rsidR="00D55DF8"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959E5" w:rsidRPr="003959E5" w14:paraId="76F6F36D" w14:textId="77777777" w:rsidTr="008E1CC4">
        <w:tc>
          <w:tcPr>
            <w:tcW w:w="648" w:type="dxa"/>
          </w:tcPr>
          <w:p w14:paraId="02A5AC0A" w14:textId="77777777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30" w:type="dxa"/>
          </w:tcPr>
          <w:p w14:paraId="28C5B2EF" w14:textId="5BA3C45E" w:rsidR="0027309B" w:rsidRPr="003959E5" w:rsidRDefault="00162C64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Անվտանգության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ժիլետ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երկգույն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ջրադիմացկուն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կտորից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(50%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բամբակ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/ 50%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պոլիեսթեր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), 5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սմ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քողերով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։</w:t>
            </w:r>
          </w:p>
        </w:tc>
        <w:tc>
          <w:tcPr>
            <w:tcW w:w="1710" w:type="dxa"/>
          </w:tcPr>
          <w:p w14:paraId="436E3BBF" w14:textId="2C738AD8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2</w:t>
            </w:r>
            <w:r w:rsidR="00D55DF8"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959E5" w:rsidRPr="003959E5" w14:paraId="28BADD78" w14:textId="77777777" w:rsidTr="008E1CC4">
        <w:tc>
          <w:tcPr>
            <w:tcW w:w="648" w:type="dxa"/>
          </w:tcPr>
          <w:p w14:paraId="7AE58771" w14:textId="77777777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30" w:type="dxa"/>
          </w:tcPr>
          <w:p w14:paraId="5289FB27" w14:textId="0FC58972" w:rsidR="0027309B" w:rsidRPr="003959E5" w:rsidRDefault="006A3B25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Տակտիկական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համազգեստ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բաճկոն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տաբատ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սև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կարմիր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դետալներով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ջրադիմացկուն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բազմաֆունկցիոնալ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գրպաններով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։</w:t>
            </w:r>
          </w:p>
        </w:tc>
        <w:tc>
          <w:tcPr>
            <w:tcW w:w="1710" w:type="dxa"/>
          </w:tcPr>
          <w:p w14:paraId="1274DFD0" w14:textId="555C14D3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2</w:t>
            </w:r>
            <w:r w:rsidR="00D55DF8"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959E5" w:rsidRPr="003959E5" w14:paraId="33C58D5B" w14:textId="77777777" w:rsidTr="008E1CC4">
        <w:tc>
          <w:tcPr>
            <w:tcW w:w="648" w:type="dxa"/>
          </w:tcPr>
          <w:p w14:paraId="23CF1332" w14:textId="77777777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30" w:type="dxa"/>
          </w:tcPr>
          <w:p w14:paraId="5A202D65" w14:textId="368754CA" w:rsidR="0027309B" w:rsidRPr="003959E5" w:rsidRDefault="006A3B25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Ձմեռային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բաճկոն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մուգ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կապույտ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գազարագույն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), 3–5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սմ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անդրադարձող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ժապավեններով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հանվող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գլխարկով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, 220 գ/մ²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խտությամբ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կտորից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</w:tcPr>
          <w:p w14:paraId="1F7A596E" w14:textId="03461B7F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2</w:t>
            </w:r>
            <w:r w:rsidR="00D55DF8"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959E5" w:rsidRPr="003959E5" w14:paraId="37A29B0C" w14:textId="77777777" w:rsidTr="008E1CC4">
        <w:tc>
          <w:tcPr>
            <w:tcW w:w="648" w:type="dxa"/>
          </w:tcPr>
          <w:p w14:paraId="3CCC9EF8" w14:textId="77777777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30" w:type="dxa"/>
          </w:tcPr>
          <w:p w14:paraId="10FB71CE" w14:textId="6B34F330" w:rsidR="0027309B" w:rsidRPr="003959E5" w:rsidRDefault="006A3B25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Կարճաթև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54537">
              <w:rPr>
                <w:rFonts w:ascii="Sylfaen" w:hAnsi="Sylfaen"/>
                <w:color w:val="000000" w:themeColor="text1"/>
                <w:sz w:val="24"/>
                <w:szCs w:val="24"/>
              </w:rPr>
              <w:t>շապիկ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(95%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բամբակ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/ 5% </w:t>
            </w:r>
            <w:proofErr w:type="spellStart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էլաստան</w:t>
            </w:r>
            <w:proofErr w:type="spellEnd"/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, 160–180 գ/մ²)</w:t>
            </w:r>
          </w:p>
        </w:tc>
        <w:tc>
          <w:tcPr>
            <w:tcW w:w="1710" w:type="dxa"/>
          </w:tcPr>
          <w:p w14:paraId="194999EB" w14:textId="251F726F" w:rsidR="0027309B" w:rsidRPr="003959E5" w:rsidRDefault="00000000" w:rsidP="00D702A4">
            <w:pPr>
              <w:spacing w:after="0" w:line="360" w:lineRule="auto"/>
              <w:jc w:val="both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2</w:t>
            </w:r>
            <w:r w:rsidR="00D55DF8" w:rsidRPr="003959E5">
              <w:rPr>
                <w:rFonts w:ascii="Sylfaen" w:hAnsi="Sylfae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31039221" w14:textId="77777777" w:rsidR="008E1CC4" w:rsidRPr="003959E5" w:rsidRDefault="008E1CC4" w:rsidP="00D702A4">
      <w:pPr>
        <w:pStyle w:val="Heading2"/>
        <w:spacing w:before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</w:p>
    <w:p w14:paraId="620B1744" w14:textId="349A4B13" w:rsidR="004E4BC9" w:rsidRPr="004E4BC9" w:rsidRDefault="004E4BC9" w:rsidP="00D702A4">
      <w:pPr>
        <w:pStyle w:val="Heading2"/>
        <w:spacing w:before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4E4BC9">
        <w:rPr>
          <w:rFonts w:ascii="Sylfaen" w:hAnsi="Sylfaen"/>
          <w:color w:val="000000" w:themeColor="text1"/>
          <w:sz w:val="24"/>
          <w:szCs w:val="24"/>
        </w:rPr>
        <w:t xml:space="preserve">4.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Արդյունք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>՝</w:t>
      </w:r>
    </w:p>
    <w:p w14:paraId="5E887859" w14:textId="15C3587B" w:rsidR="004E4BC9" w:rsidRPr="004E4BC9" w:rsidRDefault="004E4BC9" w:rsidP="00D702A4">
      <w:pPr>
        <w:pStyle w:val="Heading2"/>
        <w:numPr>
          <w:ilvl w:val="0"/>
          <w:numId w:val="15"/>
        </w:numPr>
        <w:spacing w:before="0" w:line="360" w:lineRule="auto"/>
        <w:jc w:val="both"/>
        <w:rPr>
          <w:rFonts w:ascii="Sylfaen" w:hAnsi="Sylfaen"/>
          <w:b w:val="0"/>
          <w:bCs w:val="0"/>
          <w:color w:val="000000" w:themeColor="text1"/>
          <w:sz w:val="24"/>
          <w:szCs w:val="24"/>
        </w:rPr>
      </w:pP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Նշված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համազգեստի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և </w:t>
      </w:r>
      <w:proofErr w:type="spellStart"/>
      <w:r w:rsidR="00D702A4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անհատական</w:t>
      </w:r>
      <w:proofErr w:type="spellEnd"/>
      <w:r w:rsidR="00D702A4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D702A4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պաշտպանական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պարագաների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ամբողջական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մատակարարում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և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առաքում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։</w:t>
      </w:r>
    </w:p>
    <w:p w14:paraId="347DD6B5" w14:textId="77777777" w:rsidR="004E4BC9" w:rsidRPr="004E4BC9" w:rsidRDefault="004E4BC9" w:rsidP="00D702A4">
      <w:pPr>
        <w:pStyle w:val="Heading2"/>
        <w:numPr>
          <w:ilvl w:val="0"/>
          <w:numId w:val="15"/>
        </w:numPr>
        <w:spacing w:before="0" w:line="360" w:lineRule="auto"/>
        <w:jc w:val="both"/>
        <w:rPr>
          <w:rFonts w:ascii="Sylfaen" w:hAnsi="Sylfaen"/>
          <w:b w:val="0"/>
          <w:bCs w:val="0"/>
          <w:color w:val="000000" w:themeColor="text1"/>
          <w:sz w:val="24"/>
          <w:szCs w:val="24"/>
        </w:rPr>
      </w:pP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Մատակարարման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և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ընդունման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ակտ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՝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կողմերի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ստորագրությամբ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։</w:t>
      </w:r>
    </w:p>
    <w:p w14:paraId="2D1D4BCC" w14:textId="77777777" w:rsidR="004E4BC9" w:rsidRPr="004E4BC9" w:rsidRDefault="004E4BC9" w:rsidP="00D702A4">
      <w:pPr>
        <w:pStyle w:val="Heading2"/>
        <w:spacing w:before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4E4BC9">
        <w:rPr>
          <w:rFonts w:ascii="Sylfaen" w:hAnsi="Sylfaen"/>
          <w:color w:val="000000" w:themeColor="text1"/>
          <w:sz w:val="24"/>
          <w:szCs w:val="24"/>
        </w:rPr>
        <w:t xml:space="preserve">5. </w:t>
      </w:r>
      <w:proofErr w:type="spellStart"/>
      <w:r w:rsidRPr="004E4BC9">
        <w:rPr>
          <w:rFonts w:ascii="Sylfaen" w:hAnsi="Sylfaen"/>
          <w:color w:val="000000" w:themeColor="text1"/>
          <w:sz w:val="24"/>
          <w:szCs w:val="24"/>
        </w:rPr>
        <w:t>Տեխնիկական</w:t>
      </w:r>
      <w:proofErr w:type="spellEnd"/>
      <w:r w:rsidRPr="004E4BC9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color w:val="000000" w:themeColor="text1"/>
          <w:sz w:val="24"/>
          <w:szCs w:val="24"/>
        </w:rPr>
        <w:t>պահանջներ</w:t>
      </w:r>
      <w:proofErr w:type="spellEnd"/>
    </w:p>
    <w:p w14:paraId="67D4A481" w14:textId="77777777" w:rsidR="000916F5" w:rsidRPr="004E4BC9" w:rsidRDefault="000916F5" w:rsidP="000916F5">
      <w:pPr>
        <w:pStyle w:val="Heading2"/>
        <w:numPr>
          <w:ilvl w:val="0"/>
          <w:numId w:val="16"/>
        </w:numPr>
        <w:spacing w:before="0" w:line="360" w:lineRule="auto"/>
        <w:jc w:val="both"/>
        <w:rPr>
          <w:rFonts w:ascii="Sylfaen" w:hAnsi="Sylfaen"/>
          <w:b w:val="0"/>
          <w:bCs w:val="0"/>
          <w:color w:val="000000" w:themeColor="text1"/>
          <w:sz w:val="24"/>
          <w:szCs w:val="24"/>
        </w:rPr>
      </w:pP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Բոլոր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ապրանքները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պետք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է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հարմար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լինեն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արտակարգ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իրավիճակների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արձագանքման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և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ուսումնական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միջավայրում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օգտագործման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համար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։</w:t>
      </w:r>
    </w:p>
    <w:p w14:paraId="57F1A434" w14:textId="40084136" w:rsidR="004E4BC9" w:rsidRPr="004E4BC9" w:rsidRDefault="004E4BC9" w:rsidP="00D702A4">
      <w:pPr>
        <w:pStyle w:val="Heading2"/>
        <w:numPr>
          <w:ilvl w:val="0"/>
          <w:numId w:val="16"/>
        </w:numPr>
        <w:spacing w:before="0" w:line="360" w:lineRule="auto"/>
        <w:jc w:val="both"/>
        <w:rPr>
          <w:rFonts w:ascii="Sylfaen" w:hAnsi="Sylfaen"/>
          <w:b w:val="0"/>
          <w:bCs w:val="0"/>
          <w:color w:val="000000" w:themeColor="text1"/>
          <w:sz w:val="24"/>
          <w:szCs w:val="24"/>
        </w:rPr>
      </w:pP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Բոլոր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պարագաները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պետք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է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համապատասխանեն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անհատական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պ</w:t>
      </w:r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աշտպանական</w:t>
      </w:r>
      <w:proofErr w:type="spellEnd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միջոցների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(PPE) և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համազգեստի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որակի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համապատասխան</w:t>
      </w:r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ութայն</w:t>
      </w:r>
      <w:proofErr w:type="spellEnd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ԵՄ/ISO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ստանդարտներին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։</w:t>
      </w:r>
    </w:p>
    <w:p w14:paraId="6C354996" w14:textId="69627A96" w:rsidR="004E4BC9" w:rsidRPr="004E4BC9" w:rsidRDefault="004E4BC9" w:rsidP="00D702A4">
      <w:pPr>
        <w:pStyle w:val="Heading2"/>
        <w:numPr>
          <w:ilvl w:val="0"/>
          <w:numId w:val="16"/>
        </w:numPr>
        <w:spacing w:before="0" w:line="360" w:lineRule="auto"/>
        <w:jc w:val="both"/>
        <w:rPr>
          <w:rFonts w:ascii="Sylfaen" w:hAnsi="Sylfaen"/>
          <w:b w:val="0"/>
          <w:bCs w:val="0"/>
          <w:color w:val="000000" w:themeColor="text1"/>
          <w:sz w:val="24"/>
          <w:szCs w:val="24"/>
        </w:rPr>
      </w:pP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Պարագաները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պետք</w:t>
      </w:r>
      <w:proofErr w:type="spellEnd"/>
      <w:r w:rsidRPr="004E4BC9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է </w:t>
      </w:r>
      <w:proofErr w:type="spellStart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լինեն</w:t>
      </w:r>
      <w:proofErr w:type="spellEnd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հարմարավետ</w:t>
      </w:r>
      <w:proofErr w:type="spellEnd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 և </w:t>
      </w:r>
      <w:proofErr w:type="spellStart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>անդրադարձող</w:t>
      </w:r>
      <w:proofErr w:type="spellEnd"/>
      <w:r w:rsidR="003959E5" w:rsidRPr="003959E5">
        <w:rPr>
          <w:rFonts w:ascii="Sylfaen" w:hAnsi="Sylfaen"/>
          <w:b w:val="0"/>
          <w:bCs w:val="0"/>
          <w:color w:val="000000" w:themeColor="text1"/>
          <w:sz w:val="24"/>
          <w:szCs w:val="24"/>
        </w:rPr>
        <w:t xml:space="preserve">: </w:t>
      </w:r>
    </w:p>
    <w:p w14:paraId="14A2F9A6" w14:textId="19E6CCE1" w:rsidR="003959E5" w:rsidRPr="003959E5" w:rsidRDefault="003959E5" w:rsidP="00154537">
      <w:pPr>
        <w:spacing w:after="0" w:line="360" w:lineRule="auto"/>
        <w:ind w:left="-90" w:firstLine="90"/>
        <w:rPr>
          <w:rFonts w:ascii="Sylfaen" w:hAnsi="Sylfaen"/>
          <w:color w:val="000000" w:themeColor="text1"/>
          <w:sz w:val="24"/>
          <w:szCs w:val="24"/>
        </w:rPr>
      </w:pPr>
      <w:r w:rsidRPr="003959E5">
        <w:rPr>
          <w:rFonts w:ascii="Sylfaen" w:eastAsiaTheme="majorEastAsia" w:hAnsi="Sylfaen" w:cstheme="majorBidi"/>
          <w:b/>
          <w:bCs/>
          <w:color w:val="000000" w:themeColor="text1"/>
          <w:sz w:val="24"/>
          <w:szCs w:val="24"/>
        </w:rPr>
        <w:t xml:space="preserve">6. </w:t>
      </w:r>
      <w:proofErr w:type="spellStart"/>
      <w:r w:rsidRPr="003959E5">
        <w:rPr>
          <w:rFonts w:ascii="Sylfaen" w:eastAsiaTheme="majorEastAsia" w:hAnsi="Sylfaen" w:cstheme="majorBidi"/>
          <w:b/>
          <w:bCs/>
          <w:color w:val="000000" w:themeColor="text1"/>
          <w:sz w:val="24"/>
          <w:szCs w:val="24"/>
        </w:rPr>
        <w:t>Դիմելու</w:t>
      </w:r>
      <w:proofErr w:type="spellEnd"/>
      <w:r w:rsidRPr="003959E5">
        <w:rPr>
          <w:rFonts w:ascii="Sylfaen" w:eastAsiaTheme="majorEastAsia" w:hAnsi="Sylfaen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eastAsiaTheme="majorEastAsia" w:hAnsi="Sylfaen" w:cstheme="majorBidi"/>
          <w:b/>
          <w:bCs/>
          <w:color w:val="000000" w:themeColor="text1"/>
          <w:sz w:val="24"/>
          <w:szCs w:val="24"/>
        </w:rPr>
        <w:t>կարգ</w:t>
      </w:r>
      <w:proofErr w:type="spellEnd"/>
      <w:r w:rsidRPr="003959E5">
        <w:rPr>
          <w:rFonts w:ascii="Sylfaen" w:eastAsiaTheme="majorEastAsia" w:hAnsi="Sylfaen" w:cstheme="majorBidi"/>
          <w:b/>
          <w:bCs/>
          <w:color w:val="000000" w:themeColor="text1"/>
          <w:sz w:val="24"/>
          <w:szCs w:val="24"/>
        </w:rPr>
        <w:t>՝</w:t>
      </w:r>
      <w:r w:rsidRPr="003959E5">
        <w:rPr>
          <w:rFonts w:ascii="Sylfaen" w:hAnsi="Sylfaen"/>
          <w:color w:val="000000" w:themeColor="text1"/>
          <w:sz w:val="24"/>
          <w:szCs w:val="24"/>
        </w:rPr>
        <w:br/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Հետաքրքրված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կազմակերպությունները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կարող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են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ներկայացնել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իրենց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959E5">
        <w:rPr>
          <w:rFonts w:ascii="Sylfaen" w:hAnsi="Sylfaen"/>
          <w:color w:val="000000" w:themeColor="text1"/>
          <w:sz w:val="24"/>
          <w:szCs w:val="24"/>
        </w:rPr>
        <w:t>առաջարկները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մինչև</w:t>
      </w:r>
      <w:proofErr w:type="spellEnd"/>
      <w:proofErr w:type="gram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2025թ.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Նոյեմբերի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0916F5">
        <w:rPr>
          <w:rFonts w:ascii="Sylfaen" w:hAnsi="Sylfaen"/>
          <w:color w:val="000000" w:themeColor="text1"/>
          <w:sz w:val="24"/>
          <w:szCs w:val="24"/>
        </w:rPr>
        <w:t>24</w:t>
      </w:r>
      <w:r w:rsidRPr="003959E5">
        <w:rPr>
          <w:rFonts w:ascii="Sylfaen" w:hAnsi="Sylfaen"/>
          <w:color w:val="000000" w:themeColor="text1"/>
          <w:sz w:val="24"/>
          <w:szCs w:val="24"/>
        </w:rPr>
        <w:t xml:space="preserve">-ը,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ժամը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՝ 18:00-ն `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հայտերը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ուղարկելով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Լուսինե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Ժամհարյանի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հետևյալ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հասցեին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՝ </w:t>
      </w:r>
      <w:hyperlink r:id="rId6" w:history="1">
        <w:r w:rsidRPr="003959E5">
          <w:rPr>
            <w:rStyle w:val="Hyperlink"/>
            <w:rFonts w:ascii="Sylfaen" w:hAnsi="Sylfaen"/>
            <w:color w:val="000000" w:themeColor="text1"/>
            <w:sz w:val="24"/>
            <w:szCs w:val="24"/>
          </w:rPr>
          <w:t>lusine.zhamharyan@heks-eper.org</w:t>
        </w:r>
      </w:hyperlink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</w:p>
    <w:p w14:paraId="5A2E1E27" w14:textId="77777777" w:rsidR="003959E5" w:rsidRPr="003959E5" w:rsidRDefault="003959E5" w:rsidP="00154537">
      <w:pPr>
        <w:spacing w:after="0" w:line="360" w:lineRule="auto"/>
        <w:ind w:left="-90" w:firstLine="90"/>
        <w:jc w:val="both"/>
        <w:rPr>
          <w:rFonts w:ascii="Sylfaen" w:hAnsi="Sylfaen"/>
          <w:b/>
          <w:bCs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Փաթեթը</w:t>
      </w:r>
      <w:proofErr w:type="spellEnd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պետք</w:t>
      </w:r>
      <w:proofErr w:type="spellEnd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 xml:space="preserve"> է </w:t>
      </w:r>
      <w:proofErr w:type="spellStart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ներառի</w:t>
      </w:r>
      <w:proofErr w:type="spellEnd"/>
      <w:r w:rsidRPr="003959E5">
        <w:rPr>
          <w:rFonts w:ascii="Sylfaen" w:hAnsi="Sylfaen"/>
          <w:b/>
          <w:bCs/>
          <w:color w:val="000000" w:themeColor="text1"/>
          <w:sz w:val="24"/>
          <w:szCs w:val="24"/>
        </w:rPr>
        <w:t>՝</w:t>
      </w:r>
    </w:p>
    <w:p w14:paraId="3647A0D9" w14:textId="77777777" w:rsidR="003959E5" w:rsidRPr="003959E5" w:rsidRDefault="003959E5" w:rsidP="00154537">
      <w:pPr>
        <w:numPr>
          <w:ilvl w:val="0"/>
          <w:numId w:val="17"/>
        </w:num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Կազմակերպության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վերաբերյալ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տեղեկատվություն</w:t>
      </w:r>
      <w:proofErr w:type="spellEnd"/>
    </w:p>
    <w:p w14:paraId="74F28723" w14:textId="77777777" w:rsidR="003959E5" w:rsidRPr="003959E5" w:rsidRDefault="003959E5" w:rsidP="00154537">
      <w:pPr>
        <w:numPr>
          <w:ilvl w:val="0"/>
          <w:numId w:val="17"/>
        </w:num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Ֆինանսական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առաջարկ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003959E5">
        <w:rPr>
          <w:rFonts w:ascii="Sylfaen" w:hAnsi="Sylfaen"/>
          <w:color w:val="000000" w:themeColor="text1"/>
          <w:sz w:val="24"/>
          <w:szCs w:val="24"/>
          <w:lang w:val="en-GB"/>
        </w:rPr>
        <w:t>(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  <w:lang w:val="en-GB"/>
        </w:rPr>
        <w:t>առանց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  <w:lang w:val="en-GB"/>
        </w:rPr>
        <w:t xml:space="preserve"> ԱԱՀ)</w:t>
      </w:r>
    </w:p>
    <w:p w14:paraId="17372F8C" w14:textId="77777777" w:rsidR="003959E5" w:rsidRPr="003959E5" w:rsidRDefault="003959E5" w:rsidP="00154537">
      <w:pPr>
        <w:numPr>
          <w:ilvl w:val="0"/>
          <w:numId w:val="17"/>
        </w:num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Ներկայացուցչության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կամ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սպասարկման</w:t>
      </w:r>
      <w:proofErr w:type="spellEnd"/>
      <w:r w:rsidRPr="003959E5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3959E5">
        <w:rPr>
          <w:rFonts w:ascii="Sylfaen" w:hAnsi="Sylfaen"/>
          <w:color w:val="000000" w:themeColor="text1"/>
          <w:sz w:val="24"/>
          <w:szCs w:val="24"/>
        </w:rPr>
        <w:t>հավաստագիր</w:t>
      </w:r>
      <w:proofErr w:type="spellEnd"/>
    </w:p>
    <w:p w14:paraId="0660AB3A" w14:textId="0565F2C9" w:rsidR="0027309B" w:rsidRPr="003959E5" w:rsidRDefault="0027309B" w:rsidP="00D702A4">
      <w:pPr>
        <w:pStyle w:val="Heading2"/>
        <w:spacing w:before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</w:p>
    <w:sectPr w:rsidR="0027309B" w:rsidRPr="003959E5" w:rsidSect="008E1CC4">
      <w:pgSz w:w="12240" w:h="15840"/>
      <w:pgMar w:top="1440" w:right="81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936D6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C91A32"/>
    <w:multiLevelType w:val="hybridMultilevel"/>
    <w:tmpl w:val="36BA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E44E20"/>
    <w:multiLevelType w:val="multilevel"/>
    <w:tmpl w:val="BCC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FF7492"/>
    <w:multiLevelType w:val="hybridMultilevel"/>
    <w:tmpl w:val="66FE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94115"/>
    <w:multiLevelType w:val="hybridMultilevel"/>
    <w:tmpl w:val="05E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D3EA6"/>
    <w:multiLevelType w:val="multilevel"/>
    <w:tmpl w:val="6308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D402E"/>
    <w:multiLevelType w:val="multilevel"/>
    <w:tmpl w:val="E2C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03553"/>
    <w:multiLevelType w:val="hybridMultilevel"/>
    <w:tmpl w:val="F5B2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810B8"/>
    <w:multiLevelType w:val="multilevel"/>
    <w:tmpl w:val="5046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041558">
    <w:abstractNumId w:val="8"/>
  </w:num>
  <w:num w:numId="2" w16cid:durableId="313729377">
    <w:abstractNumId w:val="6"/>
  </w:num>
  <w:num w:numId="3" w16cid:durableId="720712794">
    <w:abstractNumId w:val="5"/>
  </w:num>
  <w:num w:numId="4" w16cid:durableId="1575625388">
    <w:abstractNumId w:val="4"/>
  </w:num>
  <w:num w:numId="5" w16cid:durableId="992828701">
    <w:abstractNumId w:val="7"/>
  </w:num>
  <w:num w:numId="6" w16cid:durableId="1958217296">
    <w:abstractNumId w:val="3"/>
  </w:num>
  <w:num w:numId="7" w16cid:durableId="2076314604">
    <w:abstractNumId w:val="2"/>
  </w:num>
  <w:num w:numId="8" w16cid:durableId="2047563313">
    <w:abstractNumId w:val="1"/>
  </w:num>
  <w:num w:numId="9" w16cid:durableId="1389572189">
    <w:abstractNumId w:val="0"/>
  </w:num>
  <w:num w:numId="10" w16cid:durableId="572398376">
    <w:abstractNumId w:val="9"/>
  </w:num>
  <w:num w:numId="11" w16cid:durableId="1605192853">
    <w:abstractNumId w:val="15"/>
  </w:num>
  <w:num w:numId="12" w16cid:durableId="1875384873">
    <w:abstractNumId w:val="14"/>
  </w:num>
  <w:num w:numId="13" w16cid:durableId="426393404">
    <w:abstractNumId w:val="12"/>
  </w:num>
  <w:num w:numId="14" w16cid:durableId="1355228890">
    <w:abstractNumId w:val="11"/>
  </w:num>
  <w:num w:numId="15" w16cid:durableId="1739089909">
    <w:abstractNumId w:val="13"/>
  </w:num>
  <w:num w:numId="16" w16cid:durableId="237715739">
    <w:abstractNumId w:val="16"/>
  </w:num>
  <w:num w:numId="17" w16cid:durableId="2116631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6F5"/>
    <w:rsid w:val="0015074B"/>
    <w:rsid w:val="00154537"/>
    <w:rsid w:val="00162C64"/>
    <w:rsid w:val="0027309B"/>
    <w:rsid w:val="0029639D"/>
    <w:rsid w:val="00326F90"/>
    <w:rsid w:val="003959E5"/>
    <w:rsid w:val="00465949"/>
    <w:rsid w:val="004E4BC9"/>
    <w:rsid w:val="0059043F"/>
    <w:rsid w:val="006A3B25"/>
    <w:rsid w:val="007429F9"/>
    <w:rsid w:val="007915EB"/>
    <w:rsid w:val="008E1CC4"/>
    <w:rsid w:val="009166AE"/>
    <w:rsid w:val="00A7256E"/>
    <w:rsid w:val="00A754C8"/>
    <w:rsid w:val="00AA1D8D"/>
    <w:rsid w:val="00B47730"/>
    <w:rsid w:val="00CB0664"/>
    <w:rsid w:val="00D55DF8"/>
    <w:rsid w:val="00D702A4"/>
    <w:rsid w:val="00F176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22956"/>
  <w14:defaultImageDpi w14:val="300"/>
  <w15:docId w15:val="{12BDBED1-F714-458F-A69F-468D043D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7256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sine.zhamharyan@heks-epe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Lusine Zhamharyan</cp:lastModifiedBy>
  <cp:revision>6</cp:revision>
  <dcterms:created xsi:type="dcterms:W3CDTF">2025-11-13T07:33:00Z</dcterms:created>
  <dcterms:modified xsi:type="dcterms:W3CDTF">2025-11-13T10:41:00Z</dcterms:modified>
  <cp:category/>
</cp:coreProperties>
</file>